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0"/>
        <w:jc w:val="center"/>
      </w:pPr>
      <w:r>
        <w:rPr>
          <w:rFonts w:ascii="Georgia" w:cs="Georgia" w:eastAsia="Georgia" w:hAnsi="Georgia"/>
          <w:b/>
          <w:bCs/>
          <w:color w:val="1B2A4A"/>
          <w:sz w:val="72"/>
          <w:szCs w:val="72"/>
        </w:rPr>
        <w:t xml:space="preserve">KAY NOTE</w:t>
      </w:r>
    </w:p>
    <w:p>
      <w:pPr>
        <w:spacing w:after="80" w:before="0"/>
        <w:jc w:val="center"/>
      </w:pPr>
      <w:r>
        <w:rPr>
          <w:rFonts w:ascii="Georgia" w:cs="Georgia" w:eastAsia="Georgia" w:hAnsi="Georgia"/>
          <w:b/>
          <w:bCs/>
          <w:color w:val="C9973A"/>
          <w:sz w:val="36"/>
          <w:szCs w:val="36"/>
        </w:rPr>
        <w:t xml:space="preserve">RUBRIQUE LÉGISLATION</w:t>
      </w:r>
    </w:p>
    <w:p>
      <w:pPr>
        <w:pBdr>
          <w:bottom w:val="single" w:color="C9973A" w:sz="4" w:space="1"/>
        </w:pBdr>
        <w:spacing w:after="200" w:before="200"/>
      </w:pPr>
    </w:p>
    <w:p>
      <w:pPr>
        <w:spacing w:after="80" w:before="200"/>
        <w:jc w:val="center"/>
      </w:pPr>
      <w:r>
        <w:rPr>
          <w:rFonts w:ascii="Georgia" w:cs="Georgia" w:eastAsia="Georgia" w:hAnsi="Georgia"/>
          <w:b/>
          <w:bCs/>
          <w:color w:val="1B2A4A"/>
          <w:sz w:val="44"/>
          <w:szCs w:val="44"/>
        </w:rPr>
        <w:t xml:space="preserve">LE NOTARIAT HAÏTIEN DÉCRYPTÉ</w:t>
      </w:r>
    </w:p>
    <w:p>
      <w:pPr>
        <w:spacing w:after="60" w:before="60"/>
        <w:jc w:val="center"/>
      </w:pPr>
      <w:r>
        <w:rPr>
          <w:rFonts w:ascii="Calibri" w:cs="Calibri" w:eastAsia="Calibri" w:hAnsi="Calibri"/>
          <w:i/>
          <w:iCs/>
          <w:color w:val="666666"/>
          <w:sz w:val="24"/>
          <w:szCs w:val="24"/>
        </w:rPr>
        <w:t xml:space="preserve">Organisation · Attributions · Discipline · Pratique Notariale</w:t>
      </w:r>
    </w:p>
    <w:p>
      <w:pPr>
        <w:spacing w:after="160" w:before="20"/>
        <w:jc w:val="center"/>
      </w:pPr>
      <w:r>
        <w:rPr>
          <w:rFonts w:ascii="Calibri" w:cs="Calibri" w:eastAsia="Calibri" w:hAnsi="Calibri"/>
          <w:i/>
          <w:iCs/>
          <w:color w:val="2A6B7C"/>
          <w:sz w:val="22"/>
          <w:szCs w:val="22"/>
        </w:rPr>
        <w:t xml:space="preserve">À la lumière des Décrets-lois de 1941 et 1969</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4"/>
              <w:left w:val="single" w:color="1B2A4A" w:sz="16"/>
              <w:bottom w:val="single" w:color="1B2A4A" w:sz="4"/>
              <w:right w:val="single" w:color="1B2A4A" w:sz="4"/>
            </w:tcBorders>
            <w:shd w:fill="F5F1EA" w:val="clear"/>
            <w:tcMar>
              <w:top w:type="dxa" w:w="160"/>
              <w:left w:type="dxa" w:w="240"/>
              <w:bottom w:type="dxa" w:w="160"/>
              <w:right w:type="dxa" w:w="240"/>
            </w:tcMar>
          </w:tcPr>
          <w:p>
            <w:pPr>
              <w:spacing w:after="80" w:before="60"/>
            </w:pPr>
            <w:r>
              <w:rPr>
                <w:rFonts w:ascii="Georgia" w:cs="Georgia" w:eastAsia="Georgia" w:hAnsi="Georgia"/>
                <w:b/>
                <w:bCs/>
                <w:color w:val="1B2A4A"/>
                <w:sz w:val="22"/>
                <w:szCs w:val="22"/>
              </w:rPr>
              <w:t xml:space="preserve">Référence doctrinale</w:t>
            </w:r>
          </w:p>
          <w:p>
            <w:pPr>
              <w:spacing w:after="80" w:line="280"/>
            </w:pPr>
            <w:r>
              <w:rPr>
                <w:rFonts w:ascii="Calibri" w:cs="Calibri" w:eastAsia="Calibri" w:hAnsi="Calibri"/>
                <w:color w:val="1A1A1A"/>
                <w:sz w:val="20"/>
                <w:szCs w:val="20"/>
              </w:rPr>
              <w:t xml:space="preserve">Auteur : Magistrat Garry Paul ANGRAND</w:t>
            </w:r>
          </w:p>
          <w:p>
            <w:pPr>
              <w:spacing w:after="80" w:line="280"/>
            </w:pPr>
            <w:r>
              <w:rPr>
                <w:rFonts w:ascii="Calibri" w:cs="Calibri" w:eastAsia="Calibri" w:hAnsi="Calibri"/>
                <w:color w:val="1A1A1A"/>
                <w:sz w:val="20"/>
                <w:szCs w:val="20"/>
              </w:rPr>
              <w:t xml:space="preserve">Sources : Décret-loi du 20 juin 1941 | Décret-loi du 27 novembre 1969</w:t>
            </w:r>
          </w:p>
          <w:p>
            <w:pPr>
              <w:spacing w:after="80" w:line="280"/>
            </w:pPr>
            <w:r>
              <w:rPr>
                <w:rFonts w:ascii="Calibri" w:cs="Calibri" w:eastAsia="Calibri" w:hAnsi="Calibri"/>
                <w:color w:val="1A1A1A"/>
                <w:sz w:val="20"/>
                <w:szCs w:val="20"/>
              </w:rPr>
              <w:t xml:space="preserve">Diffusé sur : Kay Note — Plateforme Juridique Haïtienne</w:t>
            </w:r>
          </w:p>
          <w:p>
            <w:pPr>
              <w:spacing w:after="80" w:line="280"/>
            </w:pPr>
            <w:r>
              <w:rPr>
                <w:rFonts w:ascii="Calibri" w:cs="Calibri" w:eastAsia="Calibri" w:hAnsi="Calibri"/>
                <w:color w:val="1A1A1A"/>
                <w:sz w:val="20"/>
                <w:szCs w:val="20"/>
              </w:rPr>
              <w:t xml:space="preserve">Usage : Professionnel du droit · Étudiant · Officier public · Praticien notarial</w:t>
            </w:r>
          </w:p>
        </w:tc>
      </w:tr>
    </w:tbl>
    <w:p>
      <w:pPr>
        <w:spacing w:before="400"/>
      </w:pPr>
      <w:r>
        <w:br w:type="page"/>
      </w:r>
    </w:p>
    <w:p>
      <w:pPr>
        <w:pBdr>
          <w:bottom w:val="single" w:color="C9973A" w:sz="8" w:space="4"/>
        </w:pBdr>
        <w:spacing w:after="160" w:before="480"/>
      </w:pPr>
      <w:r>
        <w:rPr>
          <w:rFonts w:ascii="Georgia" w:cs="Georgia" w:eastAsia="Georgia" w:hAnsi="Georgia"/>
          <w:b/>
          <w:bCs/>
          <w:color w:val="1B2A4A"/>
          <w:sz w:val="36"/>
          <w:szCs w:val="36"/>
        </w:rPr>
        <w:t xml:space="preserve">À propos de Kay Note</w:t>
      </w:r>
    </w:p>
    <w:p>
      <w:pPr>
        <w:spacing w:after="160" w:before="0" w:line="320"/>
        <w:jc w:val="both"/>
      </w:pPr>
      <w:r>
        <w:rPr>
          <w:rFonts w:ascii="Calibri" w:cs="Calibri" w:eastAsia="Calibri" w:hAnsi="Calibri"/>
          <w:b w:val="false"/>
          <w:bCs w:val="false"/>
          <w:i w:val="false"/>
          <w:iCs w:val="false"/>
          <w:color w:val="1A1A1A"/>
          <w:sz w:val="22"/>
          <w:szCs w:val="22"/>
        </w:rPr>
        <w:t xml:space="preserve">Kay Note est la plateforme juridique de référence dédiée au droit haïtien. Sa rubrique Législation a pour vocation de rendre accessibles les textes fondateurs de l'ordre juridique haïtien, en les décryptant sous forme analytique, pédagogique et pratique. Ce document consacré au notariat s'inscrit dans cette mission.</w:t>
      </w:r>
    </w:p>
    <w:p>
      <w:pPr>
        <w:spacing w:after="160" w:before="0" w:line="320"/>
        <w:jc w:val="both"/>
      </w:pPr>
      <w:r>
        <w:rPr>
          <w:rFonts w:ascii="Calibri" w:cs="Calibri" w:eastAsia="Calibri" w:hAnsi="Calibri"/>
          <w:b w:val="false"/>
          <w:bCs w:val="false"/>
          <w:i w:val="false"/>
          <w:iCs w:val="false"/>
          <w:color w:val="1A1A1A"/>
          <w:sz w:val="22"/>
          <w:szCs w:val="22"/>
        </w:rPr>
        <w:t xml:space="preserve">Le présent dossier, rédigé par le Magistrat Garry Paul ANGRAND, constitue un guide exhaustif destiné aux notaires, avocats, juges de paix, greffiers, étudiants en droit et tout citoyen souhaitant comprendre le cadre légal et déontologique régissant la profession notariale en Haïti.</w:t>
      </w:r>
    </w:p>
    <w:p>
      <w:pPr>
        <w:pBdr>
          <w:bottom w:val="single" w:color="C9973A" w:sz="4" w:space="1"/>
        </w:pBdr>
        <w:spacing w:after="200" w:before="200"/>
      </w:pPr>
    </w:p>
    <w:p>
      <w:pPr>
        <w:pBdr>
          <w:bottom w:val="single" w:color="C9973A" w:sz="8" w:space="4"/>
        </w:pBdr>
        <w:spacing w:after="160" w:before="480"/>
      </w:pPr>
      <w:r>
        <w:rPr>
          <w:rFonts w:ascii="Georgia" w:cs="Georgia" w:eastAsia="Georgia" w:hAnsi="Georgia"/>
          <w:b/>
          <w:bCs/>
          <w:color w:val="1B2A4A"/>
          <w:sz w:val="36"/>
          <w:szCs w:val="36"/>
        </w:rPr>
        <w:t xml:space="preserve">Introduction Générale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73A" w:sz="4"/>
              <w:left w:val="single" w:color="C9973A" w:sz="16"/>
              <w:bottom w:val="single" w:color="C9973A" w:sz="4"/>
              <w:right w:val="single" w:color="C9973A" w:sz="4"/>
            </w:tcBorders>
            <w:shd w:fill="F5F1EA" w:val="clear"/>
            <w:tcMar>
              <w:top w:type="dxa" w:w="160"/>
              <w:left w:type="dxa" w:w="240"/>
              <w:bottom w:type="dxa" w:w="160"/>
              <w:right w:type="dxa" w:w="240"/>
            </w:tcMar>
          </w:tcPr>
          <w:p>
            <w:pPr>
              <w:spacing w:after="80" w:before="60"/>
            </w:pPr>
            <w:r>
              <w:rPr>
                <w:rFonts w:ascii="Georgia" w:cs="Georgia" w:eastAsia="Georgia" w:hAnsi="Georgia"/>
                <w:b/>
                <w:bCs/>
                <w:color w:val="1B2A4A"/>
                <w:sz w:val="22"/>
                <w:szCs w:val="22"/>
              </w:rPr>
              <w:t xml:space="preserve">Qu'est-ce que le notariat haïtien ?</w:t>
            </w:r>
          </w:p>
          <w:p>
            <w:pPr>
              <w:spacing w:after="80" w:line="280"/>
            </w:pPr>
            <w:r>
              <w:rPr>
                <w:rFonts w:ascii="Calibri" w:cs="Calibri" w:eastAsia="Calibri" w:hAnsi="Calibri"/>
                <w:color w:val="1A1A1A"/>
                <w:sz w:val="20"/>
                <w:szCs w:val="20"/>
              </w:rPr>
              <w:t xml:space="preserve">Le notariat en Haïti est une institution fondamentale de l'ordre juridique et social.</w:t>
            </w:r>
          </w:p>
          <w:p>
            <w:pPr>
              <w:spacing w:after="80" w:line="280"/>
            </w:pPr>
            <w:r>
              <w:rPr>
                <w:rFonts w:ascii="Calibri" w:cs="Calibri" w:eastAsia="Calibri" w:hAnsi="Calibri"/>
                <w:color w:val="1A1A1A"/>
                <w:sz w:val="20"/>
                <w:szCs w:val="20"/>
              </w:rPr>
              <w:t xml:space="preserve">Héritier de la tradition latine, il incarne la puissance publique au service de la sécurité des transactions.</w:t>
            </w:r>
          </w:p>
          <w:p>
            <w:pPr>
              <w:spacing w:after="80" w:line="280"/>
            </w:pPr>
            <w:r>
              <w:rPr>
                <w:rFonts w:ascii="Calibri" w:cs="Calibri" w:eastAsia="Calibri" w:hAnsi="Calibri"/>
                <w:color w:val="1A1A1A"/>
                <w:sz w:val="20"/>
                <w:szCs w:val="20"/>
              </w:rPr>
              <w:t xml:space="preserve">Son cadre légal repose sur deux textes fondateurs : le décret-loi du 20 juin 1941 et le décret-loi du 27 novembre 1969.</w:t>
            </w:r>
          </w:p>
          <w:p>
            <w:pPr>
              <w:spacing w:after="80" w:line="280"/>
            </w:pPr>
            <w:r>
              <w:rPr>
                <w:rFonts w:ascii="Calibri" w:cs="Calibri" w:eastAsia="Calibri" w:hAnsi="Calibri"/>
                <w:color w:val="1A1A1A"/>
                <w:sz w:val="20"/>
                <w:szCs w:val="20"/>
              </w:rPr>
              <w:t xml:space="preserve">Ce dernier demeure le pilier législatif central de la profession.</w:t>
            </w:r>
          </w:p>
        </w:tc>
      </w:tr>
    </w:tbl>
    <w:p>
      <w:pPr>
        <w:spacing w:after="100"/>
      </w:pPr>
    </w:p>
    <w:p>
      <w:pPr>
        <w:spacing w:after="160" w:before="0" w:line="320"/>
        <w:jc w:val="both"/>
      </w:pPr>
      <w:r>
        <w:rPr>
          <w:rFonts w:ascii="Calibri" w:cs="Calibri" w:eastAsia="Calibri" w:hAnsi="Calibri"/>
          <w:b w:val="false"/>
          <w:bCs w:val="false"/>
          <w:i w:val="false"/>
          <w:iCs w:val="false"/>
          <w:color w:val="1A1A1A"/>
          <w:sz w:val="22"/>
          <w:szCs w:val="22"/>
        </w:rPr>
        <w:t xml:space="preserve">Le notaire haïtien est un officier public, nommé par l'État, chargé d'une mission de service public : conférer l'authenticité aux actes et contrats, en garantissant leur date, en conservant les minutes et en délivrant des expéditions exécutoires. Cette mission touche aux domaines essentiels de la vie des citoyens et des entreprises :</w:t>
      </w:r>
    </w:p>
    <w:p>
      <w:pPr>
        <w:pStyle w:val="ListParagraph"/>
        <w:numPr>
          <w:ilvl w:val="0"/>
          <w:numId w:val="2"/>
        </w:numPr>
        <w:spacing w:after="80" w:line="280"/>
      </w:pPr>
      <w:r>
        <w:rPr>
          <w:rFonts w:ascii="Calibri" w:cs="Calibri" w:eastAsia="Calibri" w:hAnsi="Calibri"/>
          <w:b w:val="false"/>
          <w:bCs w:val="false"/>
          <w:color w:val="1A1A1A"/>
          <w:sz w:val="21"/>
          <w:szCs w:val="21"/>
        </w:rPr>
        <w:t xml:space="preserve">Actes immobiliers et contrats de vente</w:t>
      </w:r>
    </w:p>
    <w:p>
      <w:pPr>
        <w:pStyle w:val="ListParagraph"/>
        <w:numPr>
          <w:ilvl w:val="0"/>
          <w:numId w:val="2"/>
        </w:numPr>
        <w:spacing w:after="80" w:line="280"/>
      </w:pPr>
      <w:r>
        <w:rPr>
          <w:rFonts w:ascii="Calibri" w:cs="Calibri" w:eastAsia="Calibri" w:hAnsi="Calibri"/>
          <w:b w:val="false"/>
          <w:bCs w:val="false"/>
          <w:color w:val="1A1A1A"/>
          <w:sz w:val="21"/>
          <w:szCs w:val="21"/>
        </w:rPr>
        <w:t xml:space="preserve">Contrats de mariage et régimes matrimoniaux</w:t>
      </w:r>
    </w:p>
    <w:p>
      <w:pPr>
        <w:pStyle w:val="ListParagraph"/>
        <w:numPr>
          <w:ilvl w:val="0"/>
          <w:numId w:val="2"/>
        </w:numPr>
        <w:spacing w:after="80" w:line="280"/>
      </w:pPr>
      <w:r>
        <w:rPr>
          <w:rFonts w:ascii="Calibri" w:cs="Calibri" w:eastAsia="Calibri" w:hAnsi="Calibri"/>
          <w:b w:val="false"/>
          <w:bCs w:val="false"/>
          <w:color w:val="1A1A1A"/>
          <w:sz w:val="21"/>
          <w:szCs w:val="21"/>
        </w:rPr>
        <w:t xml:space="preserve">Successions et dispositions testamentaires</w:t>
      </w:r>
    </w:p>
    <w:p>
      <w:pPr>
        <w:pStyle w:val="ListParagraph"/>
        <w:numPr>
          <w:ilvl w:val="0"/>
          <w:numId w:val="2"/>
        </w:numPr>
        <w:spacing w:after="80" w:line="280"/>
      </w:pPr>
      <w:r>
        <w:rPr>
          <w:rFonts w:ascii="Calibri" w:cs="Calibri" w:eastAsia="Calibri" w:hAnsi="Calibri"/>
          <w:b w:val="false"/>
          <w:bCs w:val="false"/>
          <w:color w:val="1A1A1A"/>
          <w:sz w:val="21"/>
          <w:szCs w:val="21"/>
        </w:rPr>
        <w:t xml:space="preserve">Constitution et dissolution de sociétés</w:t>
      </w:r>
    </w:p>
    <w:p>
      <w:pPr>
        <w:pStyle w:val="ListParagraph"/>
        <w:numPr>
          <w:ilvl w:val="0"/>
          <w:numId w:val="2"/>
        </w:numPr>
        <w:spacing w:after="80" w:line="280"/>
      </w:pPr>
      <w:r>
        <w:rPr>
          <w:rFonts w:ascii="Calibri" w:cs="Calibri" w:eastAsia="Calibri" w:hAnsi="Calibri"/>
          <w:b w:val="false"/>
          <w:bCs w:val="false"/>
          <w:color w:val="1A1A1A"/>
          <w:sz w:val="21"/>
          <w:szCs w:val="21"/>
        </w:rPr>
        <w:t xml:space="preserve">Donations entre vifs et donations testamentaires</w:t>
      </w:r>
    </w:p>
    <w:p>
      <w:pPr>
        <w:spacing w:after="100"/>
      </w:pPr>
    </w:p>
    <w:p>
      <w:pPr>
        <w:spacing w:after="160" w:before="0" w:line="320"/>
        <w:jc w:val="both"/>
      </w:pPr>
      <w:r>
        <w:rPr>
          <w:rFonts w:ascii="Calibri" w:cs="Calibri" w:eastAsia="Calibri" w:hAnsi="Calibri"/>
          <w:b w:val="false"/>
          <w:bCs w:val="false"/>
          <w:i w:val="false"/>
          <w:iCs w:val="false"/>
          <w:color w:val="1A1A1A"/>
          <w:sz w:val="22"/>
          <w:szCs w:val="22"/>
        </w:rPr>
        <w:t xml:space="preserve">Elle exige une rigueur absolue, une indépendance totale et une intégrité sans faille de la part de ses praticiens.</w:t>
      </w:r>
    </w:p>
    <w:p>
      <w:pPr>
        <w:pBdr>
          <w:bottom w:val="single" w:color="C9973A" w:sz="4" w:space="1"/>
        </w:pBdr>
        <w:spacing w:after="200" w:before="200"/>
      </w:pPr>
    </w:p>
    <w:p>
      <w:pPr>
        <w:pBdr>
          <w:bottom w:val="single" w:color="C9973A" w:sz="8" w:space="4"/>
        </w:pBdr>
        <w:spacing w:after="160" w:before="480"/>
      </w:pPr>
      <w:r>
        <w:rPr>
          <w:rFonts w:ascii="Georgia" w:cs="Georgia" w:eastAsia="Georgia" w:hAnsi="Georgia"/>
          <w:b/>
          <w:bCs/>
          <w:color w:val="1B2A4A"/>
          <w:sz w:val="36"/>
          <w:szCs w:val="36"/>
        </w:rPr>
        <w:t xml:space="preserve">Structure du Document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TITRE</w:t>
            </w:r>
          </w:p>
        </w:tc>
        <w:tc>
          <w:tcPr>
            <w:tcW w:type="dxa" w:w="616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CONTENU</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Titre I — Organisation du Notariat</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Répartition territoriale, conditions d'accès, nomination</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Titre II — Attributions et Exercice</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Pouvoirs, devoirs, incompatibilités, interdits</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Titre III — Discipline et Contrôle</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Sanctions, rôle du Commissaire du Gouvernement</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Titre IV — Pratique et Gestion</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Rédaction, conservation, honoraires, tarifs</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Dispositions Spéciales</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Serment, cautionnement, vacance d'office, archives</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Décret-loi de 1941</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Procédures de transition et de succession d'étude</w:t>
            </w:r>
          </w:p>
        </w:tc>
      </w:tr>
    </w:tbl>
    <w:p>
      <w:pPr>
        <w:spacing w:before="400"/>
      </w:pPr>
      <w:r>
        <w:br w:type="page"/>
      </w:r>
    </w:p>
    <w:p>
      <w:pPr>
        <w:pBdr>
          <w:bottom w:val="single" w:color="C9973A" w:sz="8" w:space="4"/>
        </w:pBdr>
        <w:spacing w:after="160" w:before="480"/>
      </w:pPr>
      <w:r>
        <w:rPr>
          <w:rFonts w:ascii="Georgia" w:cs="Georgia" w:eastAsia="Georgia" w:hAnsi="Georgia"/>
          <w:b/>
          <w:bCs/>
          <w:color w:val="1B2A4A"/>
          <w:sz w:val="36"/>
          <w:szCs w:val="36"/>
        </w:rPr>
        <w:t xml:space="preserve">TITRE I — Organisation et Répartition du Notariat</w:t>
      </w:r>
    </w:p>
    <w:p>
      <w:pPr>
        <w:spacing w:after="160" w:before="300"/>
      </w:pPr>
      <w:r>
        <w:rPr>
          <w:rFonts w:ascii="Georgia" w:cs="Georgia" w:eastAsia="Georgia" w:hAnsi="Georgia"/>
          <w:b/>
          <w:bCs/>
          <w:color w:val="1B2A4A"/>
          <w:sz w:val="28"/>
          <w:szCs w:val="28"/>
        </w:rPr>
        <w:t xml:space="preserve">Section 1 — Nature juridique et attributions</w:t>
      </w:r>
    </w:p>
    <w:p>
      <w:pPr>
        <w:spacing w:after="160" w:before="0" w:line="320"/>
        <w:jc w:val="both"/>
      </w:pPr>
      <w:r>
        <w:rPr>
          <w:rFonts w:ascii="Calibri" w:cs="Calibri" w:eastAsia="Calibri" w:hAnsi="Calibri"/>
          <w:b w:val="false"/>
          <w:bCs w:val="false"/>
          <w:i w:val="false"/>
          <w:iCs w:val="false"/>
          <w:color w:val="1A1A1A"/>
          <w:sz w:val="22"/>
          <w:szCs w:val="22"/>
        </w:rPr>
        <w:t xml:space="preserve">L'article 1er du décret-loi de 1969 définit les fondements statutaires de la profession. Les questions suivantes en dégagent les éléments essentiels.</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Quelle est la nature juridique des notaires en Haïti ?</w:t>
      </w:r>
      <w:r>
        <w:rPr>
          <w:rFonts w:ascii="Calibri" w:cs="Calibri" w:eastAsia="Calibri" w:hAnsi="Calibri"/>
          <w:b/>
          <w:bCs/>
          <w:color w:val="C9973A"/>
          <w:sz w:val="18"/>
          <w:szCs w:val="18"/>
        </w:rPr>
        <w:t xml:space="preserve">  [Art. 1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Les notaires sont des officiers publics, nommés à vie par le Pouvoir Exécutif, chargés de recevoir les actes et contrats auxquels les parties doivent ou veulent donner un caractère authentique, d'en assurer la date, d'en conserver le dépôt et d'en délivrer des grosses et expéditions.</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Les notaires sont-ils nommés à vie ? Peuvent-ils être révoqués ?</w:t>
      </w:r>
      <w:r>
        <w:rPr>
          <w:rFonts w:ascii="Calibri" w:cs="Calibri" w:eastAsia="Calibri" w:hAnsi="Calibri"/>
          <w:b/>
          <w:bCs/>
          <w:color w:val="C9973A"/>
          <w:sz w:val="18"/>
          <w:szCs w:val="18"/>
        </w:rPr>
        <w:t xml:space="preserve">  [Art. 1 &amp; 50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Oui, la nomination est à vie en principe. Toutefois, le notaire peut être révoqué (destitué) par décision judiciaire sur réquisition du Commissaire du Gouvernement, notamment pour faute grave ou infraction à la déontologie.</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Dans quels cas les notaires peuvent-ils être appelés à assister le juge ?</w:t>
      </w:r>
      <w:r>
        <w:rPr>
          <w:rFonts w:ascii="Calibri" w:cs="Calibri" w:eastAsia="Calibri" w:hAnsi="Calibri"/>
          <w:b/>
          <w:bCs/>
          <w:color w:val="C9973A"/>
          <w:sz w:val="18"/>
          <w:szCs w:val="18"/>
        </w:rPr>
        <w:t xml:space="preserve">  [Art. 1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Les notaires peuvent être commis par le juge pour procéder à des opérations exigeant des compétences notariales : inventaires, partages, ventes, prisées, levée de scellés, etc.</w:t>
      </w:r>
    </w:p>
    <w:p>
      <w:pPr>
        <w:spacing w:after="160" w:before="300"/>
      </w:pPr>
      <w:r>
        <w:rPr>
          <w:rFonts w:ascii="Georgia" w:cs="Georgia" w:eastAsia="Georgia" w:hAnsi="Georgia"/>
          <w:b/>
          <w:bCs/>
          <w:color w:val="1B2A4A"/>
          <w:sz w:val="28"/>
          <w:szCs w:val="28"/>
        </w:rPr>
        <w:t xml:space="preserve">Section 2 — Répartition territoriale</w:t>
      </w:r>
    </w:p>
    <w:p>
      <w:pPr>
        <w:spacing w:after="160" w:before="0" w:line="320"/>
        <w:jc w:val="both"/>
      </w:pPr>
      <w:r>
        <w:rPr>
          <w:rFonts w:ascii="Calibri" w:cs="Calibri" w:eastAsia="Calibri" w:hAnsi="Calibri"/>
          <w:b w:val="false"/>
          <w:bCs w:val="false"/>
          <w:i w:val="false"/>
          <w:iCs w:val="false"/>
          <w:color w:val="1A1A1A"/>
          <w:sz w:val="22"/>
          <w:szCs w:val="22"/>
        </w:rPr>
        <w:t xml:space="preserve">Le décret-loi fixe le nombre de notaires par commune de manière précise. Ce tableau récapitule la répartition prévue à l'article 3.</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COMMUNE / VILLE</w:t>
            </w:r>
          </w:p>
        </w:tc>
        <w:tc>
          <w:tcPr>
            <w:tcW w:type="dxa" w:w="556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NOMBRE DE NOTAIRES</w:t>
            </w:r>
          </w:p>
        </w:tc>
      </w:tr>
      <w:tr>
        <w:tc>
          <w:tcPr>
            <w:tcW w:type="dxa" w:w="38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Port-au-Prince (capitale)</w:t>
            </w:r>
          </w:p>
        </w:tc>
        <w:tc>
          <w:tcPr>
            <w:tcW w:type="dxa" w:w="55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Nombre fixé par arrêté présidentiel</w:t>
            </w:r>
          </w:p>
        </w:tc>
      </w:tr>
      <w:tr>
        <w:tc>
          <w:tcPr>
            <w:tcW w:type="dxa" w:w="38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Cap-Haïtien, Gonaïves, Cayes, Jacmel</w:t>
            </w:r>
          </w:p>
        </w:tc>
        <w:tc>
          <w:tcPr>
            <w:tcW w:type="dxa" w:w="55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Jusqu'à 4 notaires chacune</w:t>
            </w:r>
          </w:p>
        </w:tc>
      </w:tr>
      <w:tr>
        <w:tc>
          <w:tcPr>
            <w:tcW w:type="dxa" w:w="38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Port-de-Paix, Jérémie, Saint-Marc</w:t>
            </w:r>
          </w:p>
        </w:tc>
        <w:tc>
          <w:tcPr>
            <w:tcW w:type="dxa" w:w="55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Jusqu'à 3 notaires chacune</w:t>
            </w:r>
          </w:p>
        </w:tc>
      </w:tr>
      <w:tr>
        <w:tc>
          <w:tcPr>
            <w:tcW w:type="dxa" w:w="38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Autres communes importantes</w:t>
            </w:r>
          </w:p>
        </w:tc>
        <w:tc>
          <w:tcPr>
            <w:tcW w:type="dxa" w:w="55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2 notaires minimum</w:t>
            </w:r>
          </w:p>
        </w:tc>
      </w:tr>
      <w:tr>
        <w:tc>
          <w:tcPr>
            <w:tcW w:type="dxa" w:w="38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Communes non spécifiées</w:t>
            </w:r>
          </w:p>
        </w:tc>
        <w:tc>
          <w:tcPr>
            <w:tcW w:type="dxa" w:w="55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1 notaire minimum</w:t>
            </w:r>
          </w:p>
        </w:tc>
      </w:tr>
    </w:tbl>
    <w:p>
      <w:pPr>
        <w:spacing w:after="160"/>
      </w:pPr>
    </w:p>
    <w:p>
      <w:pPr>
        <w:spacing w:after="160" w:before="300"/>
      </w:pPr>
      <w:r>
        <w:rPr>
          <w:rFonts w:ascii="Georgia" w:cs="Georgia" w:eastAsia="Georgia" w:hAnsi="Georgia"/>
          <w:b/>
          <w:bCs/>
          <w:color w:val="1B2A4A"/>
          <w:sz w:val="28"/>
          <w:szCs w:val="28"/>
        </w:rPr>
        <w:t xml:space="preserve">Section 3 — Conditions d'accès à la profession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6B7C" w:sz="4"/>
              <w:left w:val="single" w:color="2A6B7C" w:sz="16"/>
              <w:bottom w:val="single" w:color="2A6B7C" w:sz="4"/>
              <w:right w:val="single" w:color="2A6B7C" w:sz="4"/>
            </w:tcBorders>
            <w:shd w:fill="F5F1EA" w:val="clear"/>
            <w:tcMar>
              <w:top w:type="dxa" w:w="160"/>
              <w:left w:type="dxa" w:w="240"/>
              <w:bottom w:type="dxa" w:w="160"/>
              <w:right w:type="dxa" w:w="240"/>
            </w:tcMar>
          </w:tcPr>
          <w:p>
            <w:pPr>
              <w:spacing w:after="80" w:before="60"/>
            </w:pPr>
            <w:r>
              <w:rPr>
                <w:rFonts w:ascii="Georgia" w:cs="Georgia" w:eastAsia="Georgia" w:hAnsi="Georgia"/>
                <w:b/>
                <w:bCs/>
                <w:color w:val="1B2A4A"/>
                <w:sz w:val="22"/>
                <w:szCs w:val="22"/>
              </w:rPr>
              <w:t xml:space="preserve">Conditions cumulatives pour devenir notaire (Art. 4)</w:t>
            </w:r>
          </w:p>
          <w:p>
            <w:pPr>
              <w:spacing w:after="80" w:line="280"/>
            </w:pPr>
            <w:r>
              <w:rPr>
                <w:rFonts w:ascii="Calibri" w:cs="Calibri" w:eastAsia="Calibri" w:hAnsi="Calibri"/>
                <w:color w:val="1A1A1A"/>
                <w:sz w:val="20"/>
                <w:szCs w:val="20"/>
              </w:rPr>
              <w:t xml:space="preserve">1. Être de nationalité haïtienne</w:t>
            </w:r>
          </w:p>
          <w:p>
            <w:pPr>
              <w:spacing w:after="80" w:line="280"/>
            </w:pPr>
            <w:r>
              <w:rPr>
                <w:rFonts w:ascii="Calibri" w:cs="Calibri" w:eastAsia="Calibri" w:hAnsi="Calibri"/>
                <w:color w:val="1A1A1A"/>
                <w:sz w:val="20"/>
                <w:szCs w:val="20"/>
              </w:rPr>
              <w:t xml:space="preserve">2. Être âgé d'au moins 25 ans</w:t>
            </w:r>
          </w:p>
          <w:p>
            <w:pPr>
              <w:spacing w:after="80" w:line="280"/>
            </w:pPr>
            <w:r>
              <w:rPr>
                <w:rFonts w:ascii="Calibri" w:cs="Calibri" w:eastAsia="Calibri" w:hAnsi="Calibri"/>
                <w:color w:val="1A1A1A"/>
                <w:sz w:val="20"/>
                <w:szCs w:val="20"/>
              </w:rPr>
              <w:t xml:space="preserve">3. Jouir de ses droits civils et politiques</w:t>
            </w:r>
          </w:p>
          <w:p>
            <w:pPr>
              <w:spacing w:after="80" w:line="280"/>
            </w:pPr>
            <w:r>
              <w:rPr>
                <w:rFonts w:ascii="Calibri" w:cs="Calibri" w:eastAsia="Calibri" w:hAnsi="Calibri"/>
                <w:color w:val="1A1A1A"/>
                <w:sz w:val="20"/>
                <w:szCs w:val="20"/>
              </w:rPr>
              <w:t xml:space="preserve">4. Être titulaire d'un doctorat en droit (Université d'État ou reconnue)</w:t>
            </w:r>
          </w:p>
          <w:p>
            <w:pPr>
              <w:spacing w:after="80" w:line="280"/>
            </w:pPr>
            <w:r>
              <w:rPr>
                <w:rFonts w:ascii="Calibri" w:cs="Calibri" w:eastAsia="Calibri" w:hAnsi="Calibri"/>
                <w:color w:val="1A1A1A"/>
                <w:sz w:val="20"/>
                <w:szCs w:val="20"/>
              </w:rPr>
              <w:t xml:space="preserve">5. Être titulaire du diplôme d'aptitude signé par le Ministre de la Justice</w:t>
            </w:r>
          </w:p>
          <w:p>
            <w:pPr>
              <w:spacing w:after="80" w:line="280"/>
            </w:pPr>
            <w:r>
              <w:rPr>
                <w:rFonts w:ascii="Calibri" w:cs="Calibri" w:eastAsia="Calibri" w:hAnsi="Calibri"/>
                <w:color w:val="1A1A1A"/>
                <w:sz w:val="20"/>
                <w:szCs w:val="20"/>
              </w:rPr>
              <w:t xml:space="preserve">6. Avoir accompli le stage de clerc de notaire (durée normale : 2 ans)</w:t>
            </w:r>
          </w:p>
        </w:tc>
      </w:tr>
    </w:tbl>
    <w:p>
      <w:pPr>
        <w:spacing w:after="120"/>
      </w:pP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La durée du stage peut-elle être réduite ?</w:t>
      </w:r>
      <w:r>
        <w:rPr>
          <w:rFonts w:ascii="Calibri" w:cs="Calibri" w:eastAsia="Calibri" w:hAnsi="Calibri"/>
          <w:b/>
          <w:bCs/>
          <w:color w:val="C9973A"/>
          <w:sz w:val="18"/>
          <w:szCs w:val="18"/>
        </w:rPr>
        <w:t xml:space="preserve">  [Art. 6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Oui. Pour un titulaire d'un doctorat en droit, le stage est réduit à 1 an. Les anciens magistrats peuvent être dispensés totalement du stage, sur décision du Conseil des Ministres ou du Ministre de la Justice.</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En quel mois ont lieu les examens professionnels de notariat ?</w:t>
      </w:r>
      <w:r>
        <w:rPr>
          <w:rFonts w:ascii="Calibri" w:cs="Calibri" w:eastAsia="Calibri" w:hAnsi="Calibri"/>
          <w:b/>
          <w:bCs/>
          <w:color w:val="C9973A"/>
          <w:sz w:val="18"/>
          <w:szCs w:val="18"/>
        </w:rPr>
        <w:t xml:space="preserve">  [Art. 7 &amp; 9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Les examens ont lieu en octobre de chaque année, sous la supervision du Ministère de la Justice, devant un jury composé de magistrats et de notaires chevronnés.</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Qui nomme les notaires ? Dans quel délai doit-il prêter serment ?</w:t>
      </w:r>
      <w:r>
        <w:rPr>
          <w:rFonts w:ascii="Calibri" w:cs="Calibri" w:eastAsia="Calibri" w:hAnsi="Calibri"/>
          <w:b/>
          <w:bCs/>
          <w:color w:val="C9973A"/>
          <w:sz w:val="18"/>
          <w:szCs w:val="18"/>
        </w:rPr>
        <w:t xml:space="preserve">  [Art. 16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Les notaires sont nommés par le Président de la République sur avis du Ministre de la Justice. Le notaire nommé doit prêter serment dans un délai de 30 jours suivant sa nomination, sous peine de voir sa nomination caduque.</w:t>
      </w:r>
    </w:p>
    <w:p>
      <w:pPr>
        <w:spacing w:before="400"/>
      </w:pPr>
      <w:r>
        <w:br w:type="page"/>
      </w:r>
    </w:p>
    <w:p>
      <w:pPr>
        <w:pBdr>
          <w:bottom w:val="single" w:color="C9973A" w:sz="8" w:space="4"/>
        </w:pBdr>
        <w:spacing w:after="160" w:before="480"/>
      </w:pPr>
      <w:r>
        <w:rPr>
          <w:rFonts w:ascii="Georgia" w:cs="Georgia" w:eastAsia="Georgia" w:hAnsi="Georgia"/>
          <w:b/>
          <w:bCs/>
          <w:color w:val="1B2A4A"/>
          <w:sz w:val="36"/>
          <w:szCs w:val="36"/>
        </w:rPr>
        <w:t xml:space="preserve">TITRE II — Attributions et Exercice de la Fonction</w:t>
      </w:r>
    </w:p>
    <w:p>
      <w:pPr>
        <w:spacing w:after="160" w:before="300"/>
      </w:pPr>
      <w:r>
        <w:rPr>
          <w:rFonts w:ascii="Georgia" w:cs="Georgia" w:eastAsia="Georgia" w:hAnsi="Georgia"/>
          <w:b/>
          <w:bCs/>
          <w:color w:val="1B2A4A"/>
          <w:sz w:val="28"/>
          <w:szCs w:val="28"/>
        </w:rPr>
        <w:t xml:space="preserve">Section 1 — Incompatibilités</w:t>
      </w:r>
    </w:p>
    <w:p>
      <w:pPr>
        <w:spacing w:after="160" w:before="0" w:line="320"/>
        <w:jc w:val="both"/>
      </w:pPr>
      <w:r>
        <w:rPr>
          <w:rFonts w:ascii="Calibri" w:cs="Calibri" w:eastAsia="Calibri" w:hAnsi="Calibri"/>
          <w:b w:val="false"/>
          <w:bCs w:val="false"/>
          <w:i w:val="false"/>
          <w:iCs w:val="false"/>
          <w:color w:val="1A1A1A"/>
          <w:sz w:val="22"/>
          <w:szCs w:val="22"/>
        </w:rPr>
        <w:t xml:space="preserve">La loi garantit l'impartialité du notaire en posant des incompatibilités strictes. Aucune fonction ne peut être cumulée avec le notariat, sauf exception légale.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FONCTION</w:t>
            </w:r>
          </w:p>
        </w:tc>
        <w:tc>
          <w:tcPr>
            <w:tcW w:type="dxa" w:w="516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COMPATIBILITÉ AVEC LE NOTARIAT</w:t>
            </w:r>
          </w:p>
        </w:tc>
      </w:tr>
      <w:tr>
        <w:tc>
          <w:tcPr>
            <w:tcW w:type="dxa" w:w="4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Enseignement universitaire</w:t>
            </w:r>
          </w:p>
        </w:tc>
        <w:tc>
          <w:tcPr>
            <w:tcW w:type="dxa" w:w="5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Compatible sous conditions</w:t>
            </w:r>
          </w:p>
        </w:tc>
      </w:tr>
      <w:tr>
        <w:tc>
          <w:tcPr>
            <w:tcW w:type="dxa" w:w="4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Mandat électif (député, sénateur, maire)</w:t>
            </w:r>
          </w:p>
        </w:tc>
        <w:tc>
          <w:tcPr>
            <w:tcW w:type="dxa" w:w="5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INCOMPATIBLE</w:t>
            </w:r>
          </w:p>
        </w:tc>
      </w:tr>
      <w:tr>
        <w:tc>
          <w:tcPr>
            <w:tcW w:type="dxa" w:w="4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Fonction judiciaire</w:t>
            </w:r>
          </w:p>
        </w:tc>
        <w:tc>
          <w:tcPr>
            <w:tcW w:type="dxa" w:w="5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INCOMPATIBLE</w:t>
            </w:r>
          </w:p>
        </w:tc>
      </w:tr>
      <w:tr>
        <w:tc>
          <w:tcPr>
            <w:tcW w:type="dxa" w:w="4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Fonction administrative publique</w:t>
            </w:r>
          </w:p>
        </w:tc>
        <w:tc>
          <w:tcPr>
            <w:tcW w:type="dxa" w:w="5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INCOMPATIBLE</w:t>
            </w:r>
          </w:p>
        </w:tc>
      </w:tr>
      <w:tr>
        <w:tc>
          <w:tcPr>
            <w:tcW w:type="dxa" w:w="4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Fonction militaire</w:t>
            </w:r>
          </w:p>
        </w:tc>
        <w:tc>
          <w:tcPr>
            <w:tcW w:type="dxa" w:w="5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INCOMPATIBLE</w:t>
            </w:r>
          </w:p>
        </w:tc>
      </w:tr>
      <w:tr>
        <w:tc>
          <w:tcPr>
            <w:tcW w:type="dxa" w:w="4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Associé avec un autre notaire</w:t>
            </w:r>
          </w:p>
        </w:tc>
        <w:tc>
          <w:tcPr>
            <w:tcW w:type="dxa" w:w="5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INCOMPATIBLE (art. 22)</w:t>
            </w:r>
          </w:p>
        </w:tc>
      </w:tr>
      <w:tr>
        <w:tc>
          <w:tcPr>
            <w:tcW w:type="dxa" w:w="4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Spéculations boursières</w:t>
            </w:r>
          </w:p>
        </w:tc>
        <w:tc>
          <w:tcPr>
            <w:tcW w:type="dxa" w:w="5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STRICTEMENT INTERDIT</w:t>
            </w:r>
          </w:p>
        </w:tc>
      </w:tr>
      <w:tr>
        <w:tc>
          <w:tcPr>
            <w:tcW w:type="dxa" w:w="4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Opérations de courtage</w:t>
            </w:r>
          </w:p>
        </w:tc>
        <w:tc>
          <w:tcPr>
            <w:tcW w:type="dxa" w:w="5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STRICTEMENT INTERDIT</w:t>
            </w:r>
          </w:p>
        </w:tc>
      </w:tr>
    </w:tbl>
    <w:p>
      <w:pPr>
        <w:spacing w:after="160"/>
      </w:pP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Un notaire ayant opté pour une fonction incompatible peut-il être réintégré ?</w:t>
      </w:r>
      <w:r>
        <w:rPr>
          <w:rFonts w:ascii="Calibri" w:cs="Calibri" w:eastAsia="Calibri" w:hAnsi="Calibri"/>
          <w:b/>
          <w:bCs/>
          <w:color w:val="C9973A"/>
          <w:sz w:val="18"/>
          <w:szCs w:val="18"/>
        </w:rPr>
        <w:t xml:space="preserve">  [Art. 19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Oui, à condition que la fonction incompatible ait cessé et que la vacance de l'étude soit encore disponible. La réintégration se fait par arrêté du Ministre de la Justice.</w:t>
      </w:r>
    </w:p>
    <w:p>
      <w:pPr>
        <w:spacing w:after="160" w:before="300"/>
      </w:pPr>
      <w:r>
        <w:rPr>
          <w:rFonts w:ascii="Georgia" w:cs="Georgia" w:eastAsia="Georgia" w:hAnsi="Georgia"/>
          <w:b/>
          <w:bCs/>
          <w:color w:val="1B2A4A"/>
          <w:sz w:val="28"/>
          <w:szCs w:val="28"/>
        </w:rPr>
        <w:t xml:space="preserve">Section 2 — Résidence et compétence territoriale</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Le notaire est-il tenu de résider dans sa commune d'affectation ?</w:t>
      </w:r>
      <w:r>
        <w:rPr>
          <w:rFonts w:ascii="Calibri" w:cs="Calibri" w:eastAsia="Calibri" w:hAnsi="Calibri"/>
          <w:b/>
          <w:bCs/>
          <w:color w:val="C9973A"/>
          <w:sz w:val="18"/>
          <w:szCs w:val="18"/>
        </w:rPr>
        <w:t xml:space="preserve">  [Art. 20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Absolument. La résidence dans la commune assignée est une obligation légale. Le lieu de résidence figure dans l'acte de commission. Toute absence non autorisée expose le notaire à une amende prononcée par le tribunal correctionnel sur réquisition du Commissaire du Gouvernement, et à une suspension par le Ministre de la Justice.</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Un notaire peut-il instrumenter hors de sa commune ?</w:t>
      </w:r>
      <w:r>
        <w:rPr>
          <w:rFonts w:ascii="Calibri" w:cs="Calibri" w:eastAsia="Calibri" w:hAnsi="Calibri"/>
          <w:b/>
          <w:bCs/>
          <w:color w:val="C9973A"/>
          <w:sz w:val="18"/>
          <w:szCs w:val="18"/>
        </w:rPr>
        <w:t xml:space="preserve">  [Art. 21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En principe non. Il ne peut instrumenter que dans les limites de sa commune de commission. Des autorisations exceptionnelles peuvent être accordées par le Ministre de la Justice dans des cas spécifiques justifiés.</w:t>
      </w:r>
    </w:p>
    <w:p>
      <w:pPr>
        <w:spacing w:after="160" w:before="300"/>
      </w:pPr>
      <w:r>
        <w:rPr>
          <w:rFonts w:ascii="Georgia" w:cs="Georgia" w:eastAsia="Georgia" w:hAnsi="Georgia"/>
          <w:b/>
          <w:bCs/>
          <w:color w:val="1B2A4A"/>
          <w:sz w:val="28"/>
          <w:szCs w:val="28"/>
        </w:rPr>
        <w:t xml:space="preserve">Section 3 — Interdits absolus (Art. 22)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1A1A" w:sz="4"/>
              <w:left w:val="single" w:color="8B1A1A" w:sz="16"/>
              <w:bottom w:val="single" w:color="8B1A1A" w:sz="4"/>
              <w:right w:val="single" w:color="8B1A1A" w:sz="4"/>
            </w:tcBorders>
            <w:shd w:fill="FFF5F5" w:val="clear"/>
            <w:tcMar>
              <w:top w:type="dxa" w:w="160"/>
              <w:left w:type="dxa" w:w="240"/>
              <w:bottom w:type="dxa" w:w="160"/>
              <w:right w:type="dxa" w:w="240"/>
            </w:tcMar>
          </w:tcPr>
          <w:p>
            <w:pPr>
              <w:spacing w:after="80" w:before="60"/>
            </w:pPr>
            <w:r>
              <w:rPr>
                <w:rFonts w:ascii="Georgia" w:cs="Georgia" w:eastAsia="Georgia" w:hAnsi="Georgia"/>
                <w:b/>
                <w:bCs/>
                <w:color w:val="1B2A4A"/>
                <w:sz w:val="22"/>
                <w:szCs w:val="22"/>
              </w:rPr>
              <w:t xml:space="preserve">Ce qu'un notaire ne peut JAMAIS faire</w:t>
            </w:r>
          </w:p>
          <w:p>
            <w:pPr>
              <w:spacing w:after="80" w:line="280"/>
            </w:pPr>
            <w:r>
              <w:rPr>
                <w:rFonts w:ascii="Calibri" w:cs="Calibri" w:eastAsia="Calibri" w:hAnsi="Calibri"/>
                <w:color w:val="1A1A1A"/>
                <w:sz w:val="20"/>
                <w:szCs w:val="20"/>
              </w:rPr>
              <w:t xml:space="preserve">- S'associer avec un tiers pour l'exploitation de son étude</w:t>
            </w:r>
          </w:p>
          <w:p>
            <w:pPr>
              <w:spacing w:after="80" w:line="280"/>
            </w:pPr>
            <w:r>
              <w:rPr>
                <w:rFonts w:ascii="Calibri" w:cs="Calibri" w:eastAsia="Calibri" w:hAnsi="Calibri"/>
                <w:color w:val="1A1A1A"/>
                <w:sz w:val="20"/>
                <w:szCs w:val="20"/>
              </w:rPr>
              <w:t xml:space="preserve">- Se livrer à des spéculations boursières ou à des opérations de courtage</w:t>
            </w:r>
          </w:p>
          <w:p>
            <w:pPr>
              <w:spacing w:after="80" w:line="280"/>
            </w:pPr>
            <w:r>
              <w:rPr>
                <w:rFonts w:ascii="Calibri" w:cs="Calibri" w:eastAsia="Calibri" w:hAnsi="Calibri"/>
                <w:color w:val="1A1A1A"/>
                <w:sz w:val="20"/>
                <w:szCs w:val="20"/>
              </w:rPr>
              <w:t xml:space="preserve">- S'immiscer dans l'administration d'une société commerciale</w:t>
            </w:r>
          </w:p>
          <w:p>
            <w:pPr>
              <w:spacing w:after="80" w:line="280"/>
            </w:pPr>
            <w:r>
              <w:rPr>
                <w:rFonts w:ascii="Calibri" w:cs="Calibri" w:eastAsia="Calibri" w:hAnsi="Calibri"/>
                <w:color w:val="1A1A1A"/>
                <w:sz w:val="20"/>
                <w:szCs w:val="20"/>
              </w:rPr>
              <w:t xml:space="preserve">- Réaliser des transactions immobilières à des fins spéculatives</w:t>
            </w:r>
          </w:p>
          <w:p>
            <w:pPr>
              <w:spacing w:after="80" w:line="280"/>
            </w:pPr>
            <w:r>
              <w:rPr>
                <w:rFonts w:ascii="Calibri" w:cs="Calibri" w:eastAsia="Calibri" w:hAnsi="Calibri"/>
                <w:color w:val="1A1A1A"/>
                <w:sz w:val="20"/>
                <w:szCs w:val="20"/>
              </w:rPr>
              <w:t xml:space="preserve">- Placer en son nom des fonds reçus dans l'exercice de sa fonction</w:t>
            </w:r>
          </w:p>
          <w:p>
            <w:pPr>
              <w:spacing w:after="80" w:line="280"/>
            </w:pPr>
            <w:r>
              <w:rPr>
                <w:rFonts w:ascii="Calibri" w:cs="Calibri" w:eastAsia="Calibri" w:hAnsi="Calibri"/>
                <w:color w:val="1A1A1A"/>
                <w:sz w:val="20"/>
                <w:szCs w:val="20"/>
              </w:rPr>
              <w:t xml:space="preserve">- Se porter garant d'un prêt qu'il a constaté par acte</w:t>
            </w:r>
          </w:p>
          <w:p>
            <w:pPr>
              <w:spacing w:after="80" w:line="280"/>
            </w:pPr>
            <w:r>
              <w:rPr>
                <w:rFonts w:ascii="Calibri" w:cs="Calibri" w:eastAsia="Calibri" w:hAnsi="Calibri"/>
                <w:color w:val="1A1A1A"/>
                <w:sz w:val="20"/>
                <w:szCs w:val="20"/>
              </w:rPr>
              <w:t xml:space="preserve">- Servir de prête-nom à quiconque</w:t>
            </w:r>
          </w:p>
          <w:p>
            <w:pPr>
              <w:spacing w:after="80" w:line="280"/>
            </w:pPr>
            <w:r>
              <w:rPr>
                <w:rFonts w:ascii="Calibri" w:cs="Calibri" w:eastAsia="Calibri" w:hAnsi="Calibri"/>
                <w:color w:val="1A1A1A"/>
                <w:sz w:val="20"/>
                <w:szCs w:val="20"/>
              </w:rPr>
              <w:t xml:space="preserve">- Rédiger un acte contenant des mentions diffamatoires</w:t>
            </w:r>
          </w:p>
        </w:tc>
      </w:tr>
    </w:tbl>
    <w:p>
      <w:pPr>
        <w:spacing w:after="120"/>
      </w:pPr>
    </w:p>
    <w:p>
      <w:pPr>
        <w:spacing w:after="160" w:before="0" w:line="320"/>
        <w:jc w:val="both"/>
      </w:pPr>
      <w:r>
        <w:rPr>
          <w:rFonts w:ascii="Calibri" w:cs="Calibri" w:eastAsia="Calibri" w:hAnsi="Calibri"/>
          <w:b w:val="false"/>
          <w:bCs w:val="false"/>
          <w:i w:val="false"/>
          <w:iCs w:val="false"/>
          <w:color w:val="8B1A1A"/>
          <w:sz w:val="22"/>
          <w:szCs w:val="22"/>
        </w:rPr>
        <w:t xml:space="preserve">Les infractions à l'article 22 peuvent faire l'objet de poursuites sans qu'une plainte préalable soit nécessaire. Le tribunal correctionnel, sur réquisition du Commissaire du Gouvernement, peut prononcer la destitution du notaire fautif.</w:t>
      </w:r>
    </w:p>
    <w:p>
      <w:pPr>
        <w:spacing w:after="160" w:before="300"/>
      </w:pPr>
      <w:r>
        <w:rPr>
          <w:rFonts w:ascii="Georgia" w:cs="Georgia" w:eastAsia="Georgia" w:hAnsi="Georgia"/>
          <w:b/>
          <w:bCs/>
          <w:color w:val="1B2A4A"/>
          <w:sz w:val="28"/>
          <w:szCs w:val="28"/>
        </w:rPr>
        <w:t xml:space="preserve">Section 4 — Empêchements et impartialité</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Un notaire peut-il recevoir un acte impliquant un parent en ligne directe ?</w:t>
      </w:r>
      <w:r>
        <w:rPr>
          <w:rFonts w:ascii="Calibri" w:cs="Calibri" w:eastAsia="Calibri" w:hAnsi="Calibri"/>
          <w:b/>
          <w:bCs/>
          <w:color w:val="C9973A"/>
          <w:sz w:val="18"/>
          <w:szCs w:val="18"/>
        </w:rPr>
        <w:t xml:space="preserve">  [Art. 24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Non. Le notaire est formellement interdit d'instrumenter pour un parent ou allié en ligne directe, quel que soit le degré. En ligne collatérale, l'interdiction s'étend jusqu'au 3e degré inclus.</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Un notaire peut-il instrumenter pour une personne qu'il ne connaît pas personnellement ?</w:t>
      </w:r>
      <w:r>
        <w:rPr>
          <w:rFonts w:ascii="Calibri" w:cs="Calibri" w:eastAsia="Calibri" w:hAnsi="Calibri"/>
          <w:b/>
          <w:bCs/>
          <w:color w:val="C9973A"/>
          <w:sz w:val="18"/>
          <w:szCs w:val="18"/>
        </w:rPr>
        <w:t xml:space="preserve">  [Art. 24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Oui, à condition que l'identité de la personne soit certifiée par deux témoins haïtiens majeurs qui la connaissent, et dont l'identité est attestée par le notaire.</w:t>
      </w:r>
    </w:p>
    <w:p>
      <w:pPr>
        <w:spacing w:before="400"/>
      </w:pPr>
      <w:r>
        <w:br w:type="page"/>
      </w:r>
    </w:p>
    <w:p>
      <w:pPr>
        <w:pBdr>
          <w:bottom w:val="single" w:color="C9973A" w:sz="8" w:space="4"/>
        </w:pBdr>
        <w:spacing w:after="160" w:before="480"/>
      </w:pPr>
      <w:r>
        <w:rPr>
          <w:rFonts w:ascii="Georgia" w:cs="Georgia" w:eastAsia="Georgia" w:hAnsi="Georgia"/>
          <w:b/>
          <w:bCs/>
          <w:color w:val="1B2A4A"/>
          <w:sz w:val="36"/>
          <w:szCs w:val="36"/>
        </w:rPr>
        <w:t xml:space="preserve">TITRE III — Pratique Notariale : Forme et Conservation des Actes</w:t>
      </w:r>
    </w:p>
    <w:p>
      <w:pPr>
        <w:spacing w:after="160" w:before="300"/>
      </w:pPr>
      <w:r>
        <w:rPr>
          <w:rFonts w:ascii="Georgia" w:cs="Georgia" w:eastAsia="Georgia" w:hAnsi="Georgia"/>
          <w:b/>
          <w:bCs/>
          <w:color w:val="1B2A4A"/>
          <w:sz w:val="28"/>
          <w:szCs w:val="28"/>
        </w:rPr>
        <w:t xml:space="preserve">Section 1 — Formalités de rédaction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6B7C" w:sz="4"/>
              <w:left w:val="single" w:color="2A6B7C" w:sz="16"/>
              <w:bottom w:val="single" w:color="2A6B7C" w:sz="4"/>
              <w:right w:val="single" w:color="2A6B7C" w:sz="4"/>
            </w:tcBorders>
            <w:shd w:fill="F5F1EA" w:val="clear"/>
            <w:tcMar>
              <w:top w:type="dxa" w:w="160"/>
              <w:left w:type="dxa" w:w="240"/>
              <w:bottom w:type="dxa" w:w="160"/>
              <w:right w:type="dxa" w:w="240"/>
            </w:tcMar>
          </w:tcPr>
          <w:p>
            <w:pPr>
              <w:spacing w:after="80" w:before="60"/>
            </w:pPr>
            <w:r>
              <w:rPr>
                <w:rFonts w:ascii="Georgia" w:cs="Georgia" w:eastAsia="Georgia" w:hAnsi="Georgia"/>
                <w:b/>
                <w:bCs/>
                <w:color w:val="1B2A4A"/>
                <w:sz w:val="22"/>
                <w:szCs w:val="22"/>
              </w:rPr>
              <w:t xml:space="preserve">Règles formelles impératives (Art. 30)</w:t>
            </w:r>
          </w:p>
          <w:p>
            <w:pPr>
              <w:spacing w:after="80" w:line="280"/>
            </w:pPr>
            <w:r>
              <w:rPr>
                <w:rFonts w:ascii="Calibri" w:cs="Calibri" w:eastAsia="Calibri" w:hAnsi="Calibri"/>
                <w:color w:val="1A1A1A"/>
                <w:sz w:val="20"/>
                <w:szCs w:val="20"/>
              </w:rPr>
              <w:t xml:space="preserve">Les actes doivent être rédigés sur papier timbré ou support légal agréé.</w:t>
            </w:r>
          </w:p>
          <w:p>
            <w:pPr>
              <w:spacing w:after="80" w:line="280"/>
            </w:pPr>
            <w:r>
              <w:rPr>
                <w:rFonts w:ascii="Calibri" w:cs="Calibri" w:eastAsia="Calibri" w:hAnsi="Calibri"/>
                <w:color w:val="1A1A1A"/>
                <w:sz w:val="20"/>
                <w:szCs w:val="20"/>
              </w:rPr>
              <w:t xml:space="preserve">Aucune abréviation n'est permise dans le corps de l'acte.</w:t>
            </w:r>
          </w:p>
          <w:p>
            <w:pPr>
              <w:spacing w:after="80" w:line="280"/>
            </w:pPr>
            <w:r>
              <w:rPr>
                <w:rFonts w:ascii="Calibri" w:cs="Calibri" w:eastAsia="Calibri" w:hAnsi="Calibri"/>
                <w:color w:val="1A1A1A"/>
                <w:sz w:val="20"/>
                <w:szCs w:val="20"/>
              </w:rPr>
              <w:t xml:space="preserve">Les sommes et les dates doivent être écrites en toutes lettres.</w:t>
            </w:r>
          </w:p>
          <w:p>
            <w:pPr>
              <w:spacing w:after="80" w:line="280"/>
            </w:pPr>
            <w:r>
              <w:rPr>
                <w:rFonts w:ascii="Calibri" w:cs="Calibri" w:eastAsia="Calibri" w:hAnsi="Calibri"/>
                <w:color w:val="1A1A1A"/>
                <w:sz w:val="20"/>
                <w:szCs w:val="20"/>
              </w:rPr>
              <w:t xml:space="preserve">Les actes peuvent être dactylographiés ou imprimés.</w:t>
            </w:r>
          </w:p>
          <w:p>
            <w:pPr>
              <w:spacing w:after="80" w:line="280"/>
            </w:pPr>
            <w:r>
              <w:rPr>
                <w:rFonts w:ascii="Calibri" w:cs="Calibri" w:eastAsia="Calibri" w:hAnsi="Calibri"/>
                <w:color w:val="1A1A1A"/>
                <w:sz w:val="20"/>
                <w:szCs w:val="20"/>
              </w:rPr>
              <w:t xml:space="preserve">Mentions obligatoires : date, lieu, noms, qualités des parties, signature du notaire et des parties.</w:t>
            </w:r>
          </w:p>
          <w:p>
            <w:pPr>
              <w:spacing w:after="80" w:line="280"/>
            </w:pPr>
            <w:r>
              <w:rPr>
                <w:rFonts w:ascii="Calibri" w:cs="Calibri" w:eastAsia="Calibri" w:hAnsi="Calibri"/>
                <w:color w:val="1A1A1A"/>
                <w:sz w:val="20"/>
                <w:szCs w:val="20"/>
              </w:rPr>
              <w:t xml:space="preserve">Les interlignes et surcharges sont prohibés dans le corps de l'acte.</w:t>
            </w:r>
          </w:p>
          <w:p>
            <w:pPr>
              <w:spacing w:after="80" w:line="280"/>
            </w:pPr>
            <w:r>
              <w:rPr>
                <w:rFonts w:ascii="Calibri" w:cs="Calibri" w:eastAsia="Calibri" w:hAnsi="Calibri"/>
                <w:color w:val="1A1A1A"/>
                <w:sz w:val="20"/>
                <w:szCs w:val="20"/>
              </w:rPr>
              <w:t xml:space="preserve">Les renvois doivent être écrits en marge et signés.</w:t>
            </w:r>
          </w:p>
        </w:tc>
      </w:tr>
    </w:tbl>
    <w:p>
      <w:pPr>
        <w:spacing w:after="120"/>
      </w:pP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Toute vente immobilière requiert-elle un arpentage préalable ?</w:t>
      </w:r>
      <w:r>
        <w:rPr>
          <w:rFonts w:ascii="Calibri" w:cs="Calibri" w:eastAsia="Calibri" w:hAnsi="Calibri"/>
          <w:b/>
          <w:bCs/>
          <w:color w:val="C9973A"/>
          <w:sz w:val="18"/>
          <w:szCs w:val="18"/>
        </w:rPr>
        <w:t xml:space="preserve">  [Art. 31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Oui. Tout contrat de vente immobilière doit contenir les références cadastrales et le bornage de la propriété. Le notaire est personnellement responsable en cas d'omission de ces références, ce qui engage sa responsabilité civile.</w:t>
      </w:r>
    </w:p>
    <w:p>
      <w:pPr>
        <w:spacing w:after="160" w:before="300"/>
      </w:pPr>
      <w:r>
        <w:rPr>
          <w:rFonts w:ascii="Georgia" w:cs="Georgia" w:eastAsia="Georgia" w:hAnsi="Georgia"/>
          <w:b/>
          <w:bCs/>
          <w:color w:val="1B2A4A"/>
          <w:sz w:val="28"/>
          <w:szCs w:val="28"/>
        </w:rPr>
        <w:t xml:space="preserve">Section 2 — Minutes, grosses et expéditions</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Les notaires doivent-ils conserver minute de tous les actes ?</w:t>
      </w:r>
      <w:r>
        <w:rPr>
          <w:rFonts w:ascii="Calibri" w:cs="Calibri" w:eastAsia="Calibri" w:hAnsi="Calibri"/>
          <w:b/>
          <w:bCs/>
          <w:color w:val="C9973A"/>
          <w:sz w:val="18"/>
          <w:szCs w:val="18"/>
        </w:rPr>
        <w:t xml:space="preserve">  [Art. 37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Oui, le principe est la conservation de la minute (original). Seuls quelques actes simples peuvent être délivrés en brevet (sans minute conservée), comme les procurations simples.</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Qui peut délivrer des grosses et expéditions ?</w:t>
      </w:r>
      <w:r>
        <w:rPr>
          <w:rFonts w:ascii="Calibri" w:cs="Calibri" w:eastAsia="Calibri" w:hAnsi="Calibri"/>
          <w:b/>
          <w:bCs/>
          <w:color w:val="C9973A"/>
          <w:sz w:val="18"/>
          <w:szCs w:val="18"/>
        </w:rPr>
        <w:t xml:space="preserve">  [Art. 38 &amp; 44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Seul le notaire détenteur de la minute peut délivrer des grosses (copies exécutoires) et des expéditions. Une nouvelle grosse ne peut être délivrée sans ordonnance du Doyen du Tribunal Civil.</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Un notaire peut-il délivrer une expédition à une personne non concernée par l'acte ?</w:t>
      </w:r>
      <w:r>
        <w:rPr>
          <w:rFonts w:ascii="Calibri" w:cs="Calibri" w:eastAsia="Calibri" w:hAnsi="Calibri"/>
          <w:b/>
          <w:bCs/>
          <w:color w:val="C9973A"/>
          <w:sz w:val="18"/>
          <w:szCs w:val="18"/>
        </w:rPr>
        <w:t xml:space="preserve">  [Art. 40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Non. La délivrance à un tiers non concerné constitue une infraction passible d'amende et, en cas de récidive, de destitution.</w:t>
      </w:r>
    </w:p>
    <w:p>
      <w:pPr>
        <w:spacing w:after="160" w:before="300"/>
      </w:pPr>
      <w:r>
        <w:rPr>
          <w:rFonts w:ascii="Georgia" w:cs="Georgia" w:eastAsia="Georgia" w:hAnsi="Georgia"/>
          <w:b/>
          <w:bCs/>
          <w:color w:val="1B2A4A"/>
          <w:sz w:val="28"/>
          <w:szCs w:val="28"/>
        </w:rPr>
        <w:t xml:space="preserve">Section 3 — Répertoires et enregistrement</w:t>
      </w:r>
    </w:p>
    <w:p>
      <w:pPr>
        <w:spacing w:after="160" w:before="0" w:line="320"/>
        <w:jc w:val="both"/>
      </w:pPr>
      <w:r>
        <w:rPr>
          <w:rFonts w:ascii="Calibri" w:cs="Calibri" w:eastAsia="Calibri" w:hAnsi="Calibri"/>
          <w:b w:val="false"/>
          <w:bCs w:val="false"/>
          <w:i w:val="false"/>
          <w:iCs w:val="false"/>
          <w:color w:val="1A1A1A"/>
          <w:sz w:val="22"/>
          <w:szCs w:val="22"/>
        </w:rPr>
        <w:t xml:space="preserve">Le répertoire est un registre chronologique que chaque notaire doit tenir, consignant quotidiennement tous les actes reçus en minute.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OBLIGATION</w:t>
            </w:r>
          </w:p>
        </w:tc>
        <w:tc>
          <w:tcPr>
            <w:tcW w:type="dxa" w:w="616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MODALITÉ</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Tenue du répertoire</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Quotidiennement, par ordre chronologique</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Visa semestriel</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Avant le 15 janvier et avant le 15 juillet</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Arrêt du répertoire</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Tous les 6 mois par le Ministère Public</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Cotation initiale</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Par le Directeur de l'Enregistrement, sans frais</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Sanction pour retard de visa</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Amende prononcée par le tribunal</w:t>
            </w:r>
          </w:p>
        </w:tc>
      </w:tr>
    </w:tbl>
    <w:p>
      <w:pPr>
        <w:spacing w:before="400"/>
      </w:pPr>
      <w:r>
        <w:br w:type="page"/>
      </w:r>
    </w:p>
    <w:p>
      <w:pPr>
        <w:pBdr>
          <w:bottom w:val="single" w:color="C9973A" w:sz="8" w:space="4"/>
        </w:pBdr>
        <w:spacing w:after="160" w:before="480"/>
      </w:pPr>
      <w:r>
        <w:rPr>
          <w:rFonts w:ascii="Georgia" w:cs="Georgia" w:eastAsia="Georgia" w:hAnsi="Georgia"/>
          <w:b/>
          <w:bCs/>
          <w:color w:val="1B2A4A"/>
          <w:sz w:val="36"/>
          <w:szCs w:val="36"/>
        </w:rPr>
        <w:t xml:space="preserve">TITRE IV — Discipline et Contrôle du Notariat</w:t>
      </w:r>
    </w:p>
    <w:p>
      <w:pPr>
        <w:spacing w:after="160" w:before="300"/>
      </w:pPr>
      <w:r>
        <w:rPr>
          <w:rFonts w:ascii="Georgia" w:cs="Georgia" w:eastAsia="Georgia" w:hAnsi="Georgia"/>
          <w:b/>
          <w:bCs/>
          <w:color w:val="1B2A4A"/>
          <w:sz w:val="28"/>
          <w:szCs w:val="28"/>
        </w:rPr>
        <w:t xml:space="preserve">Section 1 — Autorités disciplinaires</w:t>
      </w:r>
    </w:p>
    <w:p>
      <w:pPr>
        <w:spacing w:after="160" w:before="0" w:line="320"/>
        <w:jc w:val="both"/>
      </w:pPr>
      <w:r>
        <w:rPr>
          <w:rFonts w:ascii="Calibri" w:cs="Calibri" w:eastAsia="Calibri" w:hAnsi="Calibri"/>
          <w:b w:val="false"/>
          <w:bCs w:val="false"/>
          <w:i w:val="false"/>
          <w:iCs w:val="false"/>
          <w:color w:val="1A1A1A"/>
          <w:sz w:val="22"/>
          <w:szCs w:val="22"/>
        </w:rPr>
        <w:t xml:space="preserve">La discipline des notaires appartient principalement au Commissaire du Gouvernement (Ministère Public), sous la supervision du Secrétaire d'État de la Justice.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AUTORITÉ</w:t>
            </w:r>
          </w:p>
        </w:tc>
        <w:tc>
          <w:tcPr>
            <w:tcW w:type="dxa" w:w="616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POUVOIR DISCIPLINAIRE</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Commissaire du Gouvernement</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Avertissement, amende, suspension, réquisition de destitution</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Tribunal Correctionnel</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Destitution, amendes pénales, emprisonnement</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Secrétaire d'État de la Justice</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Suspension administrative pour non-résidence</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Cour d'Appel</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Appel des jugements disciplinaires</w:t>
            </w:r>
          </w:p>
        </w:tc>
      </w:tr>
    </w:tbl>
    <w:p>
      <w:pPr>
        <w:spacing w:after="160"/>
      </w:pPr>
    </w:p>
    <w:p>
      <w:pPr>
        <w:spacing w:after="160" w:before="300"/>
      </w:pPr>
      <w:r>
        <w:rPr>
          <w:rFonts w:ascii="Georgia" w:cs="Georgia" w:eastAsia="Georgia" w:hAnsi="Georgia"/>
          <w:b/>
          <w:bCs/>
          <w:color w:val="1B2A4A"/>
          <w:sz w:val="28"/>
          <w:szCs w:val="28"/>
        </w:rPr>
        <w:t xml:space="preserve">Section 2 — Infractions et sanctions</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Que risque un notaire qui a antidaté un acte ?</w:t>
      </w:r>
      <w:r>
        <w:rPr>
          <w:rFonts w:ascii="Calibri" w:cs="Calibri" w:eastAsia="Calibri" w:hAnsi="Calibri"/>
          <w:b/>
          <w:bCs/>
          <w:color w:val="C9973A"/>
          <w:sz w:val="18"/>
          <w:szCs w:val="18"/>
        </w:rPr>
        <w:t xml:space="preserve">  [Art. 51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L'antidatation constitue un crime. Le Commissaire du Gouvernement doit, dès qu'il en a la preuve, requérir l'application du Code Pénal haïtien. Si la preuve n'est pas établie, les frais de procédure sont mis à la charge du poursuivant.</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Que risque un notaire suspendu qui continue d'exercer ?</w:t>
      </w:r>
      <w:r>
        <w:rPr>
          <w:rFonts w:ascii="Calibri" w:cs="Calibri" w:eastAsia="Calibri" w:hAnsi="Calibri"/>
          <w:b/>
          <w:bCs/>
          <w:color w:val="C9973A"/>
          <w:sz w:val="18"/>
          <w:szCs w:val="18"/>
        </w:rPr>
        <w:t xml:space="preserve">  [Art. 53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Il commet le délit d'exercice illégal de la fonction publique. Sa responsabilité pénale est alors engagée, en plus de la nullité absolue des actes rédigés pendant la suspension.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73A" w:sz="4"/>
              <w:left w:val="single" w:color="C9973A" w:sz="16"/>
              <w:bottom w:val="single" w:color="C9973A" w:sz="4"/>
              <w:right w:val="single" w:color="C9973A" w:sz="4"/>
            </w:tcBorders>
            <w:shd w:fill="FFF8E7" w:val="clear"/>
            <w:tcMar>
              <w:top w:type="dxa" w:w="160"/>
              <w:left w:type="dxa" w:w="240"/>
              <w:bottom w:type="dxa" w:w="160"/>
              <w:right w:type="dxa" w:w="240"/>
            </w:tcMar>
          </w:tcPr>
          <w:p>
            <w:pPr>
              <w:spacing w:after="80" w:before="60"/>
            </w:pPr>
            <w:r>
              <w:rPr>
                <w:rFonts w:ascii="Georgia" w:cs="Georgia" w:eastAsia="Georgia" w:hAnsi="Georgia"/>
                <w:b/>
                <w:bCs/>
                <w:color w:val="1B2A4A"/>
                <w:sz w:val="22"/>
                <w:szCs w:val="22"/>
              </w:rPr>
              <w:t xml:space="preserve">Échelle des sanctions disciplinaires</w:t>
            </w:r>
          </w:p>
          <w:p>
            <w:pPr>
              <w:spacing w:after="80" w:line="280"/>
            </w:pPr>
            <w:r>
              <w:rPr>
                <w:rFonts w:ascii="Calibri" w:cs="Calibri" w:eastAsia="Calibri" w:hAnsi="Calibri"/>
                <w:color w:val="1A1A1A"/>
                <w:sz w:val="20"/>
                <w:szCs w:val="20"/>
              </w:rPr>
              <w:t xml:space="preserve">1. Avertissement (par le Commissaire du Gouvernement)</w:t>
            </w:r>
          </w:p>
          <w:p>
            <w:pPr>
              <w:spacing w:after="80" w:line="280"/>
            </w:pPr>
            <w:r>
              <w:rPr>
                <w:rFonts w:ascii="Calibri" w:cs="Calibri" w:eastAsia="Calibri" w:hAnsi="Calibri"/>
                <w:color w:val="1A1A1A"/>
                <w:sz w:val="20"/>
                <w:szCs w:val="20"/>
              </w:rPr>
              <w:t xml:space="preserve">2. Amende civile (prononcée par le tribunal sur réquisition)</w:t>
            </w:r>
          </w:p>
          <w:p>
            <w:pPr>
              <w:spacing w:after="80" w:line="280"/>
            </w:pPr>
            <w:r>
              <w:rPr>
                <w:rFonts w:ascii="Calibri" w:cs="Calibri" w:eastAsia="Calibri" w:hAnsi="Calibri"/>
                <w:color w:val="1A1A1A"/>
                <w:sz w:val="20"/>
                <w:szCs w:val="20"/>
              </w:rPr>
              <w:t xml:space="preserve">3. Suspension temporaire (administrative ou judiciaire)</w:t>
            </w:r>
          </w:p>
          <w:p>
            <w:pPr>
              <w:spacing w:after="80" w:line="280"/>
            </w:pPr>
            <w:r>
              <w:rPr>
                <w:rFonts w:ascii="Calibri" w:cs="Calibri" w:eastAsia="Calibri" w:hAnsi="Calibri"/>
                <w:color w:val="1A1A1A"/>
                <w:sz w:val="20"/>
                <w:szCs w:val="20"/>
              </w:rPr>
              <w:t xml:space="preserve">4. Destitution (jugement du tribunal correctionnel, susceptible d'appel)</w:t>
            </w:r>
          </w:p>
          <w:p>
            <w:pPr>
              <w:spacing w:after="80" w:line="280"/>
            </w:pPr>
            <w:r>
              <w:rPr>
                <w:rFonts w:ascii="Calibri" w:cs="Calibri" w:eastAsia="Calibri" w:hAnsi="Calibri"/>
                <w:color w:val="1A1A1A"/>
                <w:sz w:val="20"/>
                <w:szCs w:val="20"/>
              </w:rPr>
              <w:t xml:space="preserve">5. Poursuites pénales (pour faux, antidatation, fausse mention)</w:t>
            </w:r>
          </w:p>
        </w:tc>
      </w:tr>
    </w:tbl>
    <w:p>
      <w:pPr>
        <w:spacing w:before="400"/>
      </w:pPr>
      <w:r>
        <w:br w:type="page"/>
      </w:r>
    </w:p>
    <w:p>
      <w:pPr>
        <w:pBdr>
          <w:bottom w:val="single" w:color="C9973A" w:sz="8" w:space="4"/>
        </w:pBdr>
        <w:spacing w:after="160" w:before="480"/>
      </w:pPr>
      <w:r>
        <w:rPr>
          <w:rFonts w:ascii="Georgia" w:cs="Georgia" w:eastAsia="Georgia" w:hAnsi="Georgia"/>
          <w:b/>
          <w:bCs/>
          <w:color w:val="1B2A4A"/>
          <w:sz w:val="36"/>
          <w:szCs w:val="36"/>
        </w:rPr>
        <w:t xml:space="preserve">TITRE V — Tarif des Honoraires et Timbre Mobile Spécial</w:t>
      </w:r>
    </w:p>
    <w:p>
      <w:pPr>
        <w:spacing w:after="160" w:before="0" w:line="320"/>
        <w:jc w:val="both"/>
      </w:pPr>
      <w:r>
        <w:rPr>
          <w:rFonts w:ascii="Calibri" w:cs="Calibri" w:eastAsia="Calibri" w:hAnsi="Calibri"/>
          <w:b w:val="false"/>
          <w:bCs w:val="false"/>
          <w:i w:val="false"/>
          <w:iCs w:val="false"/>
          <w:color w:val="1A1A1A"/>
          <w:sz w:val="22"/>
          <w:szCs w:val="22"/>
        </w:rPr>
        <w:t xml:space="preserve">Les notaires haïtiens sont assujettis à un tarif légal obligatoire fixé par l'article 54 du décret-loi de 1969. Ce tarif comprend les honoraires proprement dits et le droit de timbre mobile spécial.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ACTE NOTARIAL</w:t>
            </w:r>
          </w:p>
        </w:tc>
        <w:tc>
          <w:tcPr>
            <w:tcW w:type="dxa" w:w="616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HONORAIRES / TIMBRE</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Acte simple (procuration, etc.)</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50,00 G + timbre 5,00 G</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Acceptation de donation</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50,00 G + timbre 5,00 G</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Vente de 0 à 2 500,00 G</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Proportionnel + timbre 5,00 G</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Vente de 2 501 à 5 000,00 G</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Proportionnel + timbre 10,00 G</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Vente au-delà de 5 001,00 G</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Proportionnel + timbre 15,00 G</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Légalisation de signatures</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Forfait fixe + timbre</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Testament</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Honoraires fixes (montant fixé)</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Contrat de mariage simple</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Forfait fixe + timbre</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Inventaire (1ère vacation)</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Forfait + timbre spécial</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Acte de notoriété</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Forfait fixe + timbre</w:t>
            </w:r>
          </w:p>
        </w:tc>
      </w:tr>
    </w:tbl>
    <w:p>
      <w:pPr>
        <w:spacing w:after="160"/>
      </w:pP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Que risque un notaire qui a perçu plus que le tarif légal ?</w:t>
      </w:r>
      <w:r>
        <w:rPr>
          <w:rFonts w:ascii="Calibri" w:cs="Calibri" w:eastAsia="Calibri" w:hAnsi="Calibri"/>
          <w:b/>
          <w:bCs/>
          <w:color w:val="C9973A"/>
          <w:sz w:val="18"/>
          <w:szCs w:val="18"/>
        </w:rPr>
        <w:t xml:space="preserve">  [Art. 63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Le surplus perçu doit être restitué avec condamnation au double à titre de dommages-intérêts. Le tribunal peut en outre prononcer une amende disciplinaire. Si la réclamation de la partie est rejetée, le notaire peut obtenir des dommages-intérêts pour procédure abusive.</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Les notaires sont-ils tenus d'afficher le tarif dans leur étude ?</w:t>
      </w:r>
      <w:r>
        <w:rPr>
          <w:rFonts w:ascii="Calibri" w:cs="Calibri" w:eastAsia="Calibri" w:hAnsi="Calibri"/>
          <w:b/>
          <w:bCs/>
          <w:color w:val="C9973A"/>
          <w:sz w:val="18"/>
          <w:szCs w:val="18"/>
        </w:rPr>
        <w:t xml:space="preserve">  [Art. 64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Oui. L'affichage du tarif officiel dans un lieu visible de l'étude est obligatoire. Le notaire doit également pouvoir le soumettre à toute réquisition des parties ou des autorités.</w:t>
      </w:r>
    </w:p>
    <w:p>
      <w:pPr>
        <w:spacing w:before="400"/>
      </w:pPr>
      <w:r>
        <w:br w:type="page"/>
      </w:r>
    </w:p>
    <w:p>
      <w:pPr>
        <w:pBdr>
          <w:bottom w:val="single" w:color="C9973A" w:sz="8" w:space="4"/>
        </w:pBdr>
        <w:spacing w:after="160" w:before="480"/>
      </w:pPr>
      <w:r>
        <w:rPr>
          <w:rFonts w:ascii="Georgia" w:cs="Georgia" w:eastAsia="Georgia" w:hAnsi="Georgia"/>
          <w:b/>
          <w:bCs/>
          <w:color w:val="1B2A4A"/>
          <w:sz w:val="36"/>
          <w:szCs w:val="36"/>
        </w:rPr>
        <w:t xml:space="preserve">TITRE VI — Dispositions Spéciales et Gestion de la Vacance</w:t>
      </w:r>
    </w:p>
    <w:p>
      <w:pPr>
        <w:spacing w:after="160" w:before="300"/>
      </w:pPr>
      <w:r>
        <w:rPr>
          <w:rFonts w:ascii="Georgia" w:cs="Georgia" w:eastAsia="Georgia" w:hAnsi="Georgia"/>
          <w:b/>
          <w:bCs/>
          <w:color w:val="1B2A4A"/>
          <w:sz w:val="28"/>
          <w:szCs w:val="28"/>
        </w:rPr>
        <w:t xml:space="preserve">Section 1 — Serment et cautionnement</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Quel serment le notaire récipiendaire doit-il prêter ?</w:t>
      </w:r>
      <w:r>
        <w:rPr>
          <w:rFonts w:ascii="Calibri" w:cs="Calibri" w:eastAsia="Calibri" w:hAnsi="Calibri"/>
          <w:b/>
          <w:bCs/>
          <w:color w:val="C9973A"/>
          <w:sz w:val="18"/>
          <w:szCs w:val="18"/>
        </w:rPr>
        <w:t xml:space="preserve">  [Art. 65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Le notaire jure de bien et fidèlement remplir ses fonctions, d'observer les lois de la République, de garder le secret professionnel et de n'user de son ministère que pour des actes licites. Le serment est prêté devant le Doyen du Tribunal Civil de sa juridiction.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LIEU DE L'ÉTUDE</w:t>
            </w:r>
          </w:p>
        </w:tc>
        <w:tc>
          <w:tcPr>
            <w:tcW w:type="dxa" w:w="6160"/>
            <w:tcBorders>
              <w:top w:val="single" w:color="DDDDDD" w:sz="4"/>
              <w:left w:val="single" w:color="DDDDDD" w:sz="4"/>
              <w:bottom w:val="single" w:color="DDDDDD" w:sz="4"/>
              <w:right w:val="single" w:color="DDDDDD" w:sz="4"/>
            </w:tcBorders>
            <w:shd w:fill="1B2A4A" w:val="clear"/>
            <w:tcMar>
              <w:top w:type="dxa" w:w="80"/>
              <w:left w:type="dxa" w:w="160"/>
              <w:bottom w:type="dxa" w:w="80"/>
              <w:right w:type="dxa" w:w="160"/>
            </w:tcMar>
          </w:tcPr>
          <w:p>
            <w:r>
              <w:rPr>
                <w:rFonts w:ascii="Calibri" w:cs="Calibri" w:eastAsia="Calibri" w:hAnsi="Calibri"/>
                <w:b/>
                <w:bCs/>
                <w:color w:val="FFFFFF"/>
                <w:sz w:val="20"/>
                <w:szCs w:val="20"/>
              </w:rPr>
              <w:t xml:space="preserve">MONTANT DU CAUTIONNEMENT</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Chef-lieu d'arrondissement</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Montant fixé par arrêté</w:t>
            </w:r>
          </w:p>
        </w:tc>
      </w:tr>
      <w:tr>
        <w:tc>
          <w:tcPr>
            <w:tcW w:type="dxa" w:w="320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Commune ordinaire</w:t>
            </w:r>
          </w:p>
        </w:tc>
        <w:tc>
          <w:tcPr>
            <w:tcW w:type="dxa" w:w="6160"/>
            <w:tcBorders>
              <w:top w:val="single" w:color="DDDDDD" w:sz="4"/>
              <w:left w:val="single" w:color="DDDDDD" w:sz="4"/>
              <w:bottom w:val="single" w:color="DDDDDD" w:sz="4"/>
              <w:right w:val="single" w:color="DDDDDD" w:sz="4"/>
            </w:tcBorders>
            <w:shd w:fill="EAE6DD"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Montant inférieur fixé par arrêté</w:t>
            </w:r>
          </w:p>
        </w:tc>
      </w:tr>
      <w:tr>
        <w:tc>
          <w:tcPr>
            <w:tcW w:type="dxa" w:w="320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B2A4A"/>
                <w:sz w:val="20"/>
                <w:szCs w:val="20"/>
              </w:rPr>
              <w:t xml:space="preserve">Versement</w:t>
            </w:r>
          </w:p>
        </w:tc>
        <w:tc>
          <w:tcPr>
            <w:tcW w:type="dxa" w:w="6160"/>
            <w:tcBorders>
              <w:top w:val="single" w:color="DDDDDD" w:sz="4"/>
              <w:left w:val="single" w:color="DDDDDD" w:sz="4"/>
              <w:bottom w:val="single" w:color="DDDDDD" w:sz="4"/>
              <w:right w:val="single" w:color="DDDDDD" w:sz="4"/>
            </w:tcBorders>
            <w:shd w:fill="FFFFFF" w:val="clear"/>
            <w:tcMar>
              <w:top w:type="dxa" w:w="80"/>
              <w:left w:type="dxa" w:w="160"/>
              <w:bottom w:type="dxa" w:w="80"/>
              <w:right w:type="dxa" w:w="160"/>
            </w:tcMar>
          </w:tcPr>
          <w:p>
            <w:r>
              <w:rPr>
                <w:rFonts w:ascii="Calibri" w:cs="Calibri" w:eastAsia="Calibri" w:hAnsi="Calibri"/>
                <w:b w:val="false"/>
                <w:bCs w:val="false"/>
                <w:color w:val="1A1A1A"/>
                <w:sz w:val="20"/>
                <w:szCs w:val="20"/>
              </w:rPr>
              <w:t xml:space="preserve">À la Caisse de l'État (Direction Générale des Finances)</w:t>
            </w:r>
          </w:p>
        </w:tc>
      </w:tr>
    </w:tbl>
    <w:p>
      <w:pPr>
        <w:spacing w:after="160"/>
      </w:pPr>
    </w:p>
    <w:p>
      <w:pPr>
        <w:spacing w:after="160" w:before="300"/>
      </w:pPr>
      <w:r>
        <w:rPr>
          <w:rFonts w:ascii="Georgia" w:cs="Georgia" w:eastAsia="Georgia" w:hAnsi="Georgia"/>
          <w:b/>
          <w:bCs/>
          <w:color w:val="1B2A4A"/>
          <w:sz w:val="28"/>
          <w:szCs w:val="28"/>
        </w:rPr>
        <w:t xml:space="preserve">Section 2 — Vacance d'office et gestion des archives</w:t>
      </w:r>
    </w:p>
    <w:p>
      <w:pPr>
        <w:spacing w:after="160" w:before="0" w:line="320"/>
        <w:jc w:val="both"/>
      </w:pPr>
      <w:r>
        <w:rPr>
          <w:rFonts w:ascii="Calibri" w:cs="Calibri" w:eastAsia="Calibri" w:hAnsi="Calibri"/>
          <w:b w:val="false"/>
          <w:bCs w:val="false"/>
          <w:i w:val="false"/>
          <w:iCs w:val="false"/>
          <w:color w:val="1A1A1A"/>
          <w:sz w:val="22"/>
          <w:szCs w:val="22"/>
        </w:rPr>
        <w:t xml:space="preserve">La procédure en cas de vacance (décès, démission, destitution, mutation) est encadrée de manière très précise pour garantir la continuité du service public notarial.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4"/>
              <w:left w:val="single" w:color="1B2A4A" w:sz="16"/>
              <w:bottom w:val="single" w:color="1B2A4A" w:sz="4"/>
              <w:right w:val="single" w:color="1B2A4A" w:sz="4"/>
            </w:tcBorders>
            <w:shd w:fill="F5F1EA" w:val="clear"/>
            <w:tcMar>
              <w:top w:type="dxa" w:w="160"/>
              <w:left w:type="dxa" w:w="240"/>
              <w:bottom w:type="dxa" w:w="160"/>
              <w:right w:type="dxa" w:w="240"/>
            </w:tcMar>
          </w:tcPr>
          <w:p>
            <w:pPr>
              <w:spacing w:after="80" w:before="60"/>
            </w:pPr>
            <w:r>
              <w:rPr>
                <w:rFonts w:ascii="Georgia" w:cs="Georgia" w:eastAsia="Georgia" w:hAnsi="Georgia"/>
                <w:b/>
                <w:bCs/>
                <w:color w:val="1B2A4A"/>
                <w:sz w:val="22"/>
                <w:szCs w:val="22"/>
              </w:rPr>
              <w:t xml:space="preserve">Procédure en cas de vacance d'un office notarial</w:t>
            </w:r>
          </w:p>
          <w:p>
            <w:pPr>
              <w:spacing w:after="80" w:line="280"/>
            </w:pPr>
            <w:r>
              <w:rPr>
                <w:rFonts w:ascii="Calibri" w:cs="Calibri" w:eastAsia="Calibri" w:hAnsi="Calibri"/>
                <w:color w:val="1A1A1A"/>
                <w:sz w:val="20"/>
                <w:szCs w:val="20"/>
              </w:rPr>
              <w:t xml:space="preserve">1. Le juge de paix appose les scellés sur les archives de l'étude, d'office et immédiatement.</w:t>
            </w:r>
          </w:p>
          <w:p>
            <w:pPr>
              <w:spacing w:after="80" w:line="280"/>
            </w:pPr>
            <w:r>
              <w:rPr>
                <w:rFonts w:ascii="Calibri" w:cs="Calibri" w:eastAsia="Calibri" w:hAnsi="Calibri"/>
                <w:color w:val="1A1A1A"/>
                <w:sz w:val="20"/>
                <w:szCs w:val="20"/>
              </w:rPr>
              <w:t xml:space="preserve">2. Le Commissaire du Gouvernement requiert la levée des scellés dès qu'un successeur est nommé.</w:t>
            </w:r>
          </w:p>
          <w:p>
            <w:pPr>
              <w:spacing w:after="80" w:line="280"/>
            </w:pPr>
            <w:r>
              <w:rPr>
                <w:rFonts w:ascii="Calibri" w:cs="Calibri" w:eastAsia="Calibri" w:hAnsi="Calibri"/>
                <w:color w:val="1A1A1A"/>
                <w:sz w:val="20"/>
                <w:szCs w:val="20"/>
              </w:rPr>
              <w:t xml:space="preserve">3. Le notaire successeur, après prestation de serment, requiert la levée des scellés.</w:t>
            </w:r>
          </w:p>
          <w:p>
            <w:pPr>
              <w:spacing w:after="80" w:line="280"/>
            </w:pPr>
            <w:r>
              <w:rPr>
                <w:rFonts w:ascii="Calibri" w:cs="Calibri" w:eastAsia="Calibri" w:hAnsi="Calibri"/>
                <w:color w:val="1A1A1A"/>
                <w:sz w:val="20"/>
                <w:szCs w:val="20"/>
              </w:rPr>
              <w:t xml:space="preserve">4. Un inventaire est dressé par le juge de paix en présence des parties intéressées.</w:t>
            </w:r>
          </w:p>
          <w:p>
            <w:pPr>
              <w:spacing w:after="80" w:line="280"/>
            </w:pPr>
            <w:r>
              <w:rPr>
                <w:rFonts w:ascii="Calibri" w:cs="Calibri" w:eastAsia="Calibri" w:hAnsi="Calibri"/>
                <w:color w:val="1A1A1A"/>
                <w:sz w:val="20"/>
                <w:szCs w:val="20"/>
              </w:rPr>
              <w:t xml:space="preserve">5. Trois copies de l'inventaire sont adressées : au Ministre de la Justice, au Commissaire du Gouvernement et au Greffe du Tribunal Civil.</w:t>
            </w:r>
          </w:p>
          <w:p>
            <w:pPr>
              <w:spacing w:after="80" w:line="280"/>
            </w:pPr>
            <w:r>
              <w:rPr>
                <w:rFonts w:ascii="Calibri" w:cs="Calibri" w:eastAsia="Calibri" w:hAnsi="Calibri"/>
                <w:color w:val="1A1A1A"/>
                <w:sz w:val="20"/>
                <w:szCs w:val="20"/>
              </w:rPr>
              <w:t xml:space="preserve">6. En cas d'urgence avant l'entrée en fonction du successeur, le Doyen peut désigner un notaire intérimaire sur requête motivée.</w:t>
            </w:r>
          </w:p>
          <w:p>
            <w:pPr>
              <w:spacing w:after="80" w:line="280"/>
            </w:pPr>
            <w:r>
              <w:rPr>
                <w:rFonts w:ascii="Calibri" w:cs="Calibri" w:eastAsia="Calibri" w:hAnsi="Calibri"/>
                <w:color w:val="1A1A1A"/>
                <w:sz w:val="20"/>
                <w:szCs w:val="20"/>
              </w:rPr>
              <w:t xml:space="preserve">7. Le notaire désigné instrumenta dans son propre greffe, sous visa du Commissaire du Gouvernement.</w:t>
            </w:r>
          </w:p>
          <w:p>
            <w:pPr>
              <w:spacing w:after="80" w:line="280"/>
            </w:pPr>
            <w:r>
              <w:rPr>
                <w:rFonts w:ascii="Calibri" w:cs="Calibri" w:eastAsia="Calibri" w:hAnsi="Calibri"/>
                <w:color w:val="1A1A1A"/>
                <w:sz w:val="20"/>
                <w:szCs w:val="20"/>
              </w:rPr>
              <w:t xml:space="preserve">8. Les scellés sont rétablis immédiatement après chaque acte urgent.</w:t>
            </w:r>
          </w:p>
        </w:tc>
      </w:tr>
    </w:tbl>
    <w:p>
      <w:pPr>
        <w:spacing w:after="160"/>
      </w:pP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Qui bénéficie d'un droit de priorité pour reprendre une étude familiale ?</w:t>
      </w:r>
      <w:r>
        <w:rPr>
          <w:rFonts w:ascii="Calibri" w:cs="Calibri" w:eastAsia="Calibri" w:hAnsi="Calibri"/>
          <w:b/>
          <w:bCs/>
          <w:color w:val="C9973A"/>
          <w:sz w:val="18"/>
          <w:szCs w:val="18"/>
        </w:rPr>
        <w:t xml:space="preserve">  [Art. 72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Un parent du notaire décédé, démissionnaire ou destitué, jusqu'au 4e degré en ligne collatérale inclus, bénéficie d'un droit de priorité pour reprendre l'étude, à condition de remplir toutes les conditions légales d'accès à la profession.</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Dans quel délai la remise des archives doit-elle intervenir ?</w:t>
      </w:r>
      <w:r>
        <w:rPr>
          <w:rFonts w:ascii="Calibri" w:cs="Calibri" w:eastAsia="Calibri" w:hAnsi="Calibri"/>
          <w:b/>
          <w:bCs/>
          <w:color w:val="C9973A"/>
          <w:sz w:val="18"/>
          <w:szCs w:val="18"/>
        </w:rPr>
        <w:t xml:space="preserve">  [Art. 74 &amp; 75 — D.L. 1969]</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La remise des archives, minutes et répertoires au successeur doit intervenir dans un délai légal fixé par décret. En cas de retard, une amende journalière court à compter du délai imparti, sur requête du Commissaire du Gouvernement au Secrétaire d'État de la Justice.</w:t>
      </w:r>
    </w:p>
    <w:p>
      <w:pPr>
        <w:spacing w:before="400"/>
      </w:pPr>
      <w:r>
        <w:br w:type="page"/>
      </w:r>
    </w:p>
    <w:p>
      <w:pPr>
        <w:pBdr>
          <w:bottom w:val="single" w:color="C9973A" w:sz="8" w:space="4"/>
        </w:pBdr>
        <w:spacing w:after="160" w:before="480"/>
      </w:pPr>
      <w:r>
        <w:rPr>
          <w:rFonts w:ascii="Georgia" w:cs="Georgia" w:eastAsia="Georgia" w:hAnsi="Georgia"/>
          <w:b/>
          <w:bCs/>
          <w:color w:val="1B2A4A"/>
          <w:sz w:val="36"/>
          <w:szCs w:val="36"/>
        </w:rPr>
        <w:t xml:space="preserve">ANNEXE — Décret-loi du 20 juin 1941 : Procédures de Transition</w:t>
      </w:r>
    </w:p>
    <w:p>
      <w:pPr>
        <w:spacing w:after="160" w:before="0" w:line="320"/>
        <w:jc w:val="both"/>
      </w:pPr>
      <w:r>
        <w:rPr>
          <w:rFonts w:ascii="Calibri" w:cs="Calibri" w:eastAsia="Calibri" w:hAnsi="Calibri"/>
          <w:b w:val="false"/>
          <w:bCs w:val="false"/>
          <w:i w:val="false"/>
          <w:iCs w:val="false"/>
          <w:color w:val="1A1A1A"/>
          <w:sz w:val="22"/>
          <w:szCs w:val="22"/>
        </w:rPr>
        <w:t xml:space="preserve">Le décret-loi de 1941, intégré et complété par celui de 1969, établit les procédures promptes et rapides applicables lors de la vacance d'un office notarial, afin d'assurer la délivrance de copies en cas d'urgence et la continuité du service public.</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Le juge de paix a-t-il l'obligation d'apposer les scellés d'office ?</w:t>
      </w:r>
      <w:r>
        <w:rPr>
          <w:rFonts w:ascii="Calibri" w:cs="Calibri" w:eastAsia="Calibri" w:hAnsi="Calibri"/>
          <w:b/>
          <w:bCs/>
          <w:color w:val="C9973A"/>
          <w:sz w:val="18"/>
          <w:szCs w:val="18"/>
        </w:rPr>
        <w:t xml:space="preserve">  [Art. 1 — D.L. 1941]</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Oui. Cette obligation est absolue, automatique et immédiate dès qu'il est informé du décès, de la démission, de la destitution, de la mutation ou de l'interdiction d'un notaire. Il ne peut y déroger.</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Le notaire successeur doit-il prêter serment avant de requérir la levée des scellés ?</w:t>
      </w:r>
      <w:r>
        <w:rPr>
          <w:rFonts w:ascii="Calibri" w:cs="Calibri" w:eastAsia="Calibri" w:hAnsi="Calibri"/>
          <w:b/>
          <w:bCs/>
          <w:color w:val="C9973A"/>
          <w:sz w:val="18"/>
          <w:szCs w:val="18"/>
        </w:rPr>
        <w:t xml:space="preserve">  [Art. 1 — D.L. 1941]</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Oui. La prestation de serment est une condition préalable et obligatoire. Sans elle, le successeur ne peut valablement requérir la levée des scellés ni prendre possession des archives.</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Quelle part des émoluments le notaire successeur doit-il verser à son prédécesseur ou à ses ayants droit ?</w:t>
      </w:r>
      <w:r>
        <w:rPr>
          <w:rFonts w:ascii="Calibri" w:cs="Calibri" w:eastAsia="Calibri" w:hAnsi="Calibri"/>
          <w:b/>
          <w:bCs/>
          <w:color w:val="C9973A"/>
          <w:sz w:val="18"/>
          <w:szCs w:val="18"/>
        </w:rPr>
        <w:t xml:space="preserve">  [Art. 1 — D.L. 1941]</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Le successeur doit reverser au prédécesseur ou à ses héritiers les émoluments afférents aux grosses et expéditions délivrées d'actes reçus par ce dernier, selon les conventions ou la pratique reconnue.</w:t>
      </w:r>
    </w:p>
    <w:p>
      <w:pPr>
        <w:spacing w:after="60" w:before="160" w:line="300"/>
      </w:pPr>
      <w:r>
        <w:rPr>
          <w:rFonts w:ascii="Calibri" w:cs="Calibri" w:eastAsia="Calibri" w:hAnsi="Calibri"/>
          <w:b/>
          <w:bCs/>
          <w:color w:val="2A6B7C"/>
          <w:sz w:val="21"/>
          <w:szCs w:val="21"/>
        </w:rPr>
        <w:t xml:space="preserve">Q — </w:t>
      </w:r>
      <w:r>
        <w:rPr>
          <w:rFonts w:ascii="Calibri" w:cs="Calibri" w:eastAsia="Calibri" w:hAnsi="Calibri"/>
          <w:b/>
          <w:bCs/>
          <w:color w:val="1B2A4A"/>
          <w:sz w:val="21"/>
          <w:szCs w:val="21"/>
        </w:rPr>
        <w:t xml:space="preserve">La procédure en cas de suspension est-elle identique à celle prévue pour les autres causes de vacance ?</w:t>
      </w:r>
      <w:r>
        <w:rPr>
          <w:rFonts w:ascii="Calibri" w:cs="Calibri" w:eastAsia="Calibri" w:hAnsi="Calibri"/>
          <w:b/>
          <w:bCs/>
          <w:color w:val="C9973A"/>
          <w:sz w:val="18"/>
          <w:szCs w:val="18"/>
        </w:rPr>
        <w:t xml:space="preserve">  [Art. 1 — D.L. 1941]</w:t>
      </w:r>
    </w:p>
    <w:p>
      <w:pPr>
        <w:spacing w:after="160" w:before="40" w:line="300"/>
        <w:ind w:left="360"/>
      </w:pPr>
      <w:r>
        <w:rPr>
          <w:rFonts w:ascii="Calibri" w:cs="Calibri" w:eastAsia="Calibri" w:hAnsi="Calibri"/>
          <w:b/>
          <w:bCs/>
          <w:color w:val="C9973A"/>
          <w:sz w:val="21"/>
          <w:szCs w:val="21"/>
        </w:rPr>
        <w:t xml:space="preserve">R — </w:t>
      </w:r>
      <w:r>
        <w:rPr>
          <w:rFonts w:ascii="Calibri" w:cs="Calibri" w:eastAsia="Calibri" w:hAnsi="Calibri"/>
          <w:color w:val="1A1A1A"/>
          <w:sz w:val="21"/>
          <w:szCs w:val="21"/>
        </w:rPr>
        <w:t xml:space="preserve">Oui. En cas de suspension, la même procédure de scellés, d'inventaire et de désignation d'un notaire intérimaire s'applique, à cette différence que le notaire suspendu reste titulaire de l'office et peut reprendre ses fonctions à l'issue de la suspension.</w:t>
      </w:r>
    </w:p>
    <w:p>
      <w:pPr>
        <w:pBdr>
          <w:bottom w:val="single" w:color="C9973A" w:sz="4" w:space="1"/>
        </w:pBdr>
        <w:spacing w:after="200" w:before="200"/>
      </w:pPr>
    </w:p>
    <w:p>
      <w:pPr>
        <w:spacing w:before="400"/>
      </w:pPr>
      <w:r>
        <w:br w:type="page"/>
      </w:r>
    </w:p>
    <w:p>
      <w:pPr>
        <w:pBdr>
          <w:bottom w:val="single" w:color="C9973A" w:sz="8" w:space="4"/>
        </w:pBdr>
        <w:spacing w:after="160" w:before="480"/>
      </w:pPr>
      <w:r>
        <w:rPr>
          <w:rFonts w:ascii="Georgia" w:cs="Georgia" w:eastAsia="Georgia" w:hAnsi="Georgia"/>
          <w:b/>
          <w:bCs/>
          <w:color w:val="1B2A4A"/>
          <w:sz w:val="36"/>
          <w:szCs w:val="36"/>
        </w:rPr>
        <w:t xml:space="preserve">Conclusion Générale</w:t>
      </w:r>
    </w:p>
    <w:p>
      <w:pPr>
        <w:spacing w:after="160" w:before="0" w:line="320"/>
        <w:jc w:val="both"/>
      </w:pPr>
      <w:r>
        <w:rPr>
          <w:rFonts w:ascii="Calibri" w:cs="Calibri" w:eastAsia="Calibri" w:hAnsi="Calibri"/>
          <w:b w:val="false"/>
          <w:bCs w:val="false"/>
          <w:i w:val="false"/>
          <w:iCs w:val="false"/>
          <w:color w:val="1A1A1A"/>
          <w:sz w:val="22"/>
          <w:szCs w:val="22"/>
        </w:rPr>
        <w:t xml:space="preserve">L'analyse systématique du décret-loi du 27 novembre 1969 et de son antécédent du 20 juin 1941 permet de dresser un tableau complet et nuancé du notariat haïtien. Cette institution, pierre angulaire de la sécurité juridique en Haïti, se révèle être un édifice minutieusement construit, où chaque règle, chaque condition d'accès et chaque sanction vise un objectif supérieur.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4"/>
              <w:left w:val="single" w:color="1B2A4A" w:sz="16"/>
              <w:bottom w:val="single" w:color="1B2A4A" w:sz="4"/>
              <w:right w:val="single" w:color="1B2A4A" w:sz="4"/>
            </w:tcBorders>
            <w:shd w:fill="F5F1EA" w:val="clear"/>
            <w:tcMar>
              <w:top w:type="dxa" w:w="160"/>
              <w:left w:type="dxa" w:w="240"/>
              <w:bottom w:type="dxa" w:w="160"/>
              <w:right w:type="dxa" w:w="240"/>
            </w:tcMar>
          </w:tcPr>
          <w:p>
            <w:pPr>
              <w:spacing w:after="80" w:before="60"/>
            </w:pPr>
            <w:r>
              <w:rPr>
                <w:rFonts w:ascii="Georgia" w:cs="Georgia" w:eastAsia="Georgia" w:hAnsi="Georgia"/>
                <w:b/>
                <w:bCs/>
                <w:color w:val="1B2A4A"/>
                <w:sz w:val="22"/>
                <w:szCs w:val="22"/>
              </w:rPr>
              <w:t xml:space="preserve">Les quatre piliers du notariat haïtien</w:t>
            </w:r>
          </w:p>
          <w:p>
            <w:pPr>
              <w:spacing w:after="80" w:line="280"/>
            </w:pPr>
            <w:r>
              <w:rPr>
                <w:rFonts w:ascii="Calibri" w:cs="Calibri" w:eastAsia="Calibri" w:hAnsi="Calibri"/>
                <w:color w:val="1A1A1A"/>
                <w:sz w:val="20"/>
                <w:szCs w:val="20"/>
              </w:rPr>
              <w:t xml:space="preserve">1. UN STATUT FONDÉ SUR LA PUISSANCE PUBLIQUE — Le notaire haïtien est plus qu'un rédacteur : son authenticité donne aux actes force probante et exécutoire immédiate.</w:t>
            </w:r>
          </w:p>
          <w:p>
            <w:pPr>
              <w:spacing w:after="80" w:line="280"/>
            </w:pPr>
            <w:r>
              <w:rPr>
                <w:rFonts w:ascii="Calibri" w:cs="Calibri" w:eastAsia="Calibri" w:hAnsi="Calibri"/>
                <w:color w:val="1A1A1A"/>
                <w:sz w:val="20"/>
                <w:szCs w:val="20"/>
              </w:rPr>
              <w:t xml:space="preserve">2. UN EXERCICE CADRÉ PAR L'ÉTHIQUE — Les incompatibilités, interdits et règles d'impartialité assurent que l'autorité déléguée s'exerce dans le seul intérêt des parties.</w:t>
            </w:r>
          </w:p>
          <w:p>
            <w:pPr>
              <w:spacing w:after="80" w:line="280"/>
            </w:pPr>
            <w:r>
              <w:rPr>
                <w:rFonts w:ascii="Calibri" w:cs="Calibri" w:eastAsia="Calibri" w:hAnsi="Calibri"/>
                <w:color w:val="1A1A1A"/>
                <w:sz w:val="20"/>
                <w:szCs w:val="20"/>
              </w:rPr>
              <w:t xml:space="preserve">3. UNE ORGANISATION AU SERVICE DE L'ACCESSIBILITÉ — La répartition territoriale et les procédures de vacance garantissent la continuité du service public dans tout le pays.</w:t>
            </w:r>
          </w:p>
          <w:p>
            <w:pPr>
              <w:spacing w:after="80" w:line="280"/>
            </w:pPr>
            <w:r>
              <w:rPr>
                <w:rFonts w:ascii="Calibri" w:cs="Calibri" w:eastAsia="Calibri" w:hAnsi="Calibri"/>
                <w:color w:val="1A1A1A"/>
                <w:sz w:val="20"/>
                <w:szCs w:val="20"/>
              </w:rPr>
              <w:t xml:space="preserve">4. UN ÉQUILIBRE ENTRE TRADITION ET CONTRÔLE — Le notariat haïtien perpétue la tradition latine tout en soumettant les praticiens à un contrôle judiciaire et administratif rigoureux.</w:t>
            </w:r>
          </w:p>
        </w:tc>
      </w:tr>
    </w:tbl>
    <w:p>
      <w:pPr>
        <w:spacing w:after="200"/>
      </w:pPr>
    </w:p>
    <w:p>
      <w:pPr>
        <w:spacing w:after="160" w:before="0" w:line="320"/>
        <w:jc w:val="both"/>
      </w:pPr>
      <w:r>
        <w:rPr>
          <w:rFonts w:ascii="Calibri" w:cs="Calibri" w:eastAsia="Calibri" w:hAnsi="Calibri"/>
          <w:b w:val="false"/>
          <w:bCs w:val="false"/>
          <w:i/>
          <w:iCs/>
          <w:color w:val="1A1A1A"/>
          <w:sz w:val="22"/>
          <w:szCs w:val="22"/>
        </w:rPr>
        <w:t xml:space="preserve">En définitive, le notariat haïtien apparaît comme un système cohérent et exigeant. Il est l'un des garants institutionnels de la paix sociale par le droit, en sécurisant la propriété immobilière, en fixant les volontés familiales et en cadrant la vie des affaires.</w:t>
      </w:r>
    </w:p>
    <w:p>
      <w:pPr>
        <w:spacing w:after="160" w:before="0" w:line="320"/>
        <w:jc w:val="both"/>
      </w:pPr>
      <w:r>
        <w:rPr>
          <w:rFonts w:ascii="Calibri" w:cs="Calibri" w:eastAsia="Calibri" w:hAnsi="Calibri"/>
          <w:b w:val="false"/>
          <w:bCs w:val="false"/>
          <w:i/>
          <w:iCs/>
          <w:color w:val="1A1A1A"/>
          <w:sz w:val="22"/>
          <w:szCs w:val="22"/>
        </w:rPr>
        <w:t xml:space="preserve">Son efficacité et sa crédibilité demeurent toutefois intrinsèquement liées au respect strict de ce cadre législatif par les praticiens, et à la vigilance des autorités chargées de son contrôle.</w:t>
      </w:r>
    </w:p>
    <w:p>
      <w:pPr>
        <w:pBdr>
          <w:bottom w:val="single" w:color="C9973A" w:sz="4" w:space="1"/>
        </w:pBdr>
        <w:spacing w:after="200" w:before="200"/>
      </w:pPr>
    </w:p>
    <w:p>
      <w:pPr>
        <w:spacing w:after="80" w:before="300"/>
        <w:jc w:val="center"/>
      </w:pPr>
      <w:r>
        <w:rPr>
          <w:rFonts w:ascii="Georgia" w:cs="Georgia" w:eastAsia="Georgia" w:hAnsi="Georgia"/>
          <w:b/>
          <w:bCs/>
          <w:color w:val="1B2A4A"/>
          <w:sz w:val="22"/>
          <w:szCs w:val="22"/>
        </w:rPr>
        <w:t xml:space="preserve">KAY NOTE — Plateforme Juridique Haïtienne</w:t>
      </w:r>
    </w:p>
    <w:p>
      <w:pPr>
        <w:spacing w:after="60"/>
        <w:jc w:val="center"/>
      </w:pPr>
      <w:r>
        <w:rPr>
          <w:rFonts w:ascii="Calibri" w:cs="Calibri" w:eastAsia="Calibri" w:hAnsi="Calibri"/>
          <w:i/>
          <w:iCs/>
          <w:color w:val="666666"/>
          <w:sz w:val="20"/>
          <w:szCs w:val="20"/>
        </w:rPr>
        <w:t xml:space="preserve">Rubrique Législation | Droit Notarial</w:t>
      </w:r>
    </w:p>
    <w:p>
      <w:pPr>
        <w:spacing w:after="60"/>
        <w:jc w:val="center"/>
      </w:pPr>
      <w:r>
        <w:rPr>
          <w:rFonts w:ascii="Calibri" w:cs="Calibri" w:eastAsia="Calibri" w:hAnsi="Calibri"/>
          <w:color w:val="666666"/>
          <w:sz w:val="18"/>
          <w:szCs w:val="18"/>
        </w:rPr>
        <w:t xml:space="preserve">Source : Magistrat Garry Paul ANGRAND — Décrets-lois de 1941 et 1969</w:t>
      </w:r>
    </w:p>
    <w:sectPr>
      <w:headerReference w:type="default" r:id="rId7"/>
      <w:footerReference w:type="default" r:id="rId8"/>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00"/>
      <w:gridCol w:w="3720"/>
    </w:tblGrid>
    <w:tr>
      <w:tc>
        <w:tcPr>
          <w:tcW w:type="dxa" w:w="6000"/>
          <w:tcBorders>
            <w:top w:val="single" w:color="C9973A" w:sz="4"/>
            <w:left w:val="none" w:color="FFFFFF" w:sz="0"/>
            <w:bottom w:val="none" w:color="FFFFFF" w:sz="0"/>
            <w:right w:val="none" w:color="FFFFFF" w:sz="0"/>
          </w:tcBorders>
          <w:tcMar>
            <w:top w:type="dxa" w:w="60"/>
            <w:left w:type="dxa" w:w="0"/>
            <w:bottom w:type="dxa" w:w="0"/>
            <w:right w:type="dxa" w:w="0"/>
          </w:tcMar>
        </w:tcPr>
        <w:p>
          <w:r>
            <w:rPr>
              <w:rFonts w:ascii="Calibri" w:cs="Calibri" w:eastAsia="Calibri" w:hAnsi="Calibri"/>
              <w:i/>
              <w:iCs/>
              <w:color w:val="666666"/>
              <w:sz w:val="16"/>
              <w:szCs w:val="16"/>
            </w:rPr>
            <w:t xml:space="preserve">Magistrat Garry Paul ANGRAND — Notariat Haïtien</w:t>
          </w:r>
        </w:p>
      </w:tc>
      <w:tc>
        <w:tcPr>
          <w:tcW w:type="dxa" w:w="3720"/>
          <w:tcBorders>
            <w:top w:val="single" w:color="C9973A" w:sz="4"/>
            <w:left w:val="none" w:color="FFFFFF" w:sz="0"/>
            <w:bottom w:val="none" w:color="FFFFFF" w:sz="0"/>
            <w:right w:val="none" w:color="FFFFFF" w:sz="0"/>
          </w:tcBorders>
          <w:tcMar>
            <w:top w:type="dxa" w:w="60"/>
            <w:left w:type="dxa" w:w="0"/>
            <w:bottom w:type="dxa" w:w="0"/>
            <w:right w:type="dxa" w:w="0"/>
          </w:tcMar>
        </w:tcPr>
        <w:p>
          <w:pPr>
            <w:jc w:val="right"/>
          </w:pPr>
          <w:r>
            <w:rPr>
              <w:rFonts w:ascii="Calibri" w:cs="Calibri" w:eastAsia="Calibri" w:hAnsi="Calibri"/>
              <w:color w:val="666666"/>
              <w:sz w:val="16"/>
              <w:szCs w:val="16"/>
            </w:rPr>
            <w:t xml:space="preserve">Page </w:t>
          </w:r>
          <w:r>
            <w:rPr>
              <w:rFonts w:ascii="Calibri" w:cs="Calibri" w:eastAsia="Calibri" w:hAnsi="Calibri"/>
              <w:color w:val="666666"/>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5400"/>
      <w:gridCol w:w="4320"/>
    </w:tblGrid>
    <w:tr>
      <w:tc>
        <w:tcPr>
          <w:tcW w:type="dxa" w:w="5400"/>
          <w:tcBorders>
            <w:top w:val="none" w:color="FFFFFF" w:sz="0"/>
            <w:left w:val="none" w:color="FFFFFF" w:sz="0"/>
            <w:bottom w:val="single" w:color="C9973A" w:sz="4"/>
            <w:right w:val="none" w:color="FFFFFF" w:sz="0"/>
          </w:tcBorders>
          <w:tcMar>
            <w:top w:type="dxa" w:w="60"/>
            <w:left w:type="dxa" w:w="0"/>
            <w:bottom w:type="dxa" w:w="60"/>
            <w:right w:type="dxa" w:w="0"/>
          </w:tcMar>
        </w:tcPr>
        <w:p>
          <w:r>
            <w:rPr>
              <w:rFonts w:ascii="Georgia" w:cs="Georgia" w:eastAsia="Georgia" w:hAnsi="Georgia"/>
              <w:b/>
              <w:bCs/>
              <w:color w:val="1B2A4A"/>
              <w:sz w:val="24"/>
              <w:szCs w:val="24"/>
            </w:rPr>
            <w:t xml:space="preserve">KAY NOTE</w:t>
          </w:r>
          <w:r>
            <w:rPr>
              <w:rFonts w:ascii="Calibri" w:cs="Calibri" w:eastAsia="Calibri" w:hAnsi="Calibri"/>
              <w:color w:val="666666"/>
              <w:sz w:val="20"/>
              <w:szCs w:val="20"/>
            </w:rPr>
            <w:t xml:space="preserve">  |  Rubrique Législation</w:t>
          </w:r>
        </w:p>
      </w:tc>
      <w:tc>
        <w:tcPr>
          <w:tcW w:type="dxa" w:w="4320"/>
          <w:tcBorders>
            <w:top w:val="none" w:color="FFFFFF" w:sz="0"/>
            <w:left w:val="none" w:color="FFFFFF" w:sz="0"/>
            <w:bottom w:val="single" w:color="C9973A" w:sz="4"/>
            <w:right w:val="none" w:color="FFFFFF" w:sz="0"/>
          </w:tcBorders>
          <w:tcMar>
            <w:top w:type="dxa" w:w="60"/>
            <w:left w:type="dxa" w:w="0"/>
            <w:bottom w:type="dxa" w:w="60"/>
            <w:right w:type="dxa" w:w="0"/>
          </w:tcMar>
        </w:tcPr>
        <w:p>
          <w:pPr>
            <w:jc w:val="right"/>
          </w:pPr>
          <w:r>
            <w:rPr>
              <w:rFonts w:ascii="Calibri" w:cs="Calibri" w:eastAsia="Calibri" w:hAnsi="Calibri"/>
              <w:i/>
              <w:iCs/>
              <w:color w:val="666666"/>
              <w:sz w:val="18"/>
              <w:szCs w:val="18"/>
            </w:rPr>
            <w:t xml:space="preserve">Droit Notarial Haïtien — 2025</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480" w:hanging="240"/>
      </w:pPr>
    </w:lvl>
  </w:abstractNum>
  <w:abstractNum w:abstractNumId="4"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Georgia" w:cs="Georgia" w:eastAsia="Georgia" w:hAnsi="Georgia"/>
      <w:b/>
      <w:bCs/>
      <w:color w:val="1B2A4A"/>
      <w:sz w:val="36"/>
      <w:szCs w:val="36"/>
    </w:rPr>
  </w:style>
  <w:style w:type="paragraph" w:styleId="Heading2">
    <w:name w:val="Heading 2"/>
    <w:basedOn w:val="Normal"/>
    <w:next w:val="Normal"/>
    <w:qFormat/>
    <w:pPr>
      <w:spacing w:after="120" w:before="320"/>
      <w:outlineLvl w:val="1"/>
    </w:pPr>
    <w:rPr>
      <w:rFonts w:ascii="Georgia" w:cs="Georgia" w:eastAsia="Georgia" w:hAnsi="Georgia"/>
      <w:b/>
      <w:bCs/>
      <w:color w:val="1B2A4A"/>
      <w:sz w:val="28"/>
      <w:szCs w:val="28"/>
    </w:rPr>
  </w:style>
  <w:style w:type="paragraph" w:styleId="Heading3">
    <w:name w:val="Heading 3"/>
    <w:basedOn w:val="Normal"/>
    <w:next w:val="Normal"/>
    <w:qFormat/>
    <w:pPr>
      <w:spacing w:after="100" w:before="240"/>
      <w:outlineLvl w:val="2"/>
    </w:pPr>
    <w:rPr>
      <w:rFonts w:ascii="Calibri" w:cs="Calibri" w:eastAsia="Calibri" w:hAnsi="Calibri"/>
      <w:b/>
      <w:bCs/>
      <w:color w:val="2A6B7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2026-04-27T22:14:15.321Z</dcterms:created>
  <dcterms:modified xsi:type="dcterms:W3CDTF">2026-04-27T22:14:15.322Z</dcterms:modified>
</cp:coreProperties>
</file>

<file path=docProps/custom.xml><?xml version="1.0" encoding="utf-8"?>
<Properties xmlns="http://schemas.openxmlformats.org/officeDocument/2006/custom-properties" xmlns:vt="http://schemas.openxmlformats.org/officeDocument/2006/docPropsVTypes"/>
</file>